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95" w:rsidRPr="002A7095" w:rsidRDefault="008603D3" w:rsidP="00E840FE">
      <w:pPr>
        <w:snapToGrid w:val="0"/>
        <w:spacing w:beforeLines="20" w:before="72" w:afterLines="50" w:after="180" w:line="440" w:lineRule="exact"/>
        <w:jc w:val="center"/>
        <w:rPr>
          <w:rFonts w:ascii="Times New Roman" w:eastAsia="標楷體" w:hAnsi="標楷體"/>
          <w:b/>
          <w:sz w:val="48"/>
          <w:szCs w:val="42"/>
        </w:rPr>
      </w:pPr>
      <w:bookmarkStart w:id="0" w:name="OLE_LINK112"/>
      <w:bookmarkStart w:id="1" w:name="OLE_LINK111"/>
      <w:bookmarkStart w:id="2" w:name="OLE_LINK110"/>
      <w:r w:rsidRPr="002A7095">
        <w:rPr>
          <w:rFonts w:ascii="Times New Roman" w:eastAsia="標楷體" w:hAnsi="標楷體" w:hint="eastAsia"/>
          <w:b/>
          <w:sz w:val="48"/>
          <w:szCs w:val="42"/>
        </w:rPr>
        <w:t>1</w:t>
      </w:r>
      <w:r w:rsidRPr="002A7095">
        <w:rPr>
          <w:rFonts w:ascii="Times New Roman" w:eastAsia="標楷體" w:hAnsi="標楷體"/>
          <w:b/>
          <w:sz w:val="48"/>
          <w:szCs w:val="42"/>
        </w:rPr>
        <w:t>2</w:t>
      </w:r>
      <w:r w:rsidRPr="002A7095">
        <w:rPr>
          <w:rFonts w:ascii="Times New Roman" w:eastAsia="標楷體" w:hAnsi="標楷體" w:hint="eastAsia"/>
          <w:b/>
          <w:sz w:val="48"/>
          <w:szCs w:val="42"/>
        </w:rPr>
        <w:t>年國教性別平等教育議題</w:t>
      </w:r>
    </w:p>
    <w:p w:rsidR="008603D3" w:rsidRPr="002A7095" w:rsidRDefault="008603D3" w:rsidP="00E840FE">
      <w:pPr>
        <w:snapToGrid w:val="0"/>
        <w:spacing w:beforeLines="20" w:before="72" w:afterLines="50" w:after="180" w:line="440" w:lineRule="exact"/>
        <w:jc w:val="center"/>
        <w:rPr>
          <w:rFonts w:ascii="Times New Roman" w:eastAsia="標楷體" w:hAnsi="標楷體"/>
          <w:b/>
          <w:sz w:val="48"/>
          <w:szCs w:val="42"/>
        </w:rPr>
      </w:pPr>
      <w:bookmarkStart w:id="3" w:name="_GoBack"/>
      <w:r w:rsidRPr="002A7095">
        <w:rPr>
          <w:rFonts w:ascii="Times New Roman" w:eastAsia="標楷體" w:hAnsi="標楷體" w:hint="eastAsia"/>
          <w:b/>
          <w:sz w:val="48"/>
          <w:szCs w:val="42"/>
        </w:rPr>
        <w:t>學習主題、實質內涵、教育階段與核心素養對照表</w:t>
      </w:r>
      <w:bookmarkEnd w:id="0"/>
      <w:bookmarkEnd w:id="1"/>
      <w:bookmarkEnd w:id="2"/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335"/>
        <w:gridCol w:w="3008"/>
        <w:gridCol w:w="3008"/>
        <w:gridCol w:w="3008"/>
        <w:gridCol w:w="3606"/>
      </w:tblGrid>
      <w:tr w:rsidR="008E7514" w:rsidRPr="00E840FE" w:rsidTr="00ED61F0">
        <w:trPr>
          <w:trHeight w:val="473"/>
          <w:tblHeader/>
        </w:trPr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6E6E6"/>
            <w:vAlign w:val="center"/>
          </w:tcPr>
          <w:bookmarkEnd w:id="3"/>
          <w:p w:rsidR="008E7514" w:rsidRPr="00E840FE" w:rsidRDefault="008E7514" w:rsidP="008E7514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教育階段</w:t>
            </w:r>
          </w:p>
          <w:p w:rsidR="008E7514" w:rsidRPr="00E840FE" w:rsidRDefault="008E7514" w:rsidP="008E751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議題/</w:t>
            </w:r>
            <w:r w:rsidRPr="00E840FE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學習主題</w:t>
            </w:r>
          </w:p>
        </w:tc>
        <w:tc>
          <w:tcPr>
            <w:tcW w:w="3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議題實質內涵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對應之核心素養</w:t>
            </w:r>
          </w:p>
        </w:tc>
      </w:tr>
      <w:tr w:rsidR="008E7514" w:rsidRPr="00E840FE" w:rsidTr="002A7095">
        <w:trPr>
          <w:trHeight w:val="296"/>
          <w:tblHeader/>
        </w:trPr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14" w:rsidRPr="00E840FE" w:rsidRDefault="008E7514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國民小學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國民中學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高級中等學校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E7514" w:rsidRPr="008E7514" w:rsidTr="00AE2755">
        <w:trPr>
          <w:trHeight w:val="1173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E840FE">
            <w:pPr>
              <w:snapToGrid w:val="0"/>
              <w:spacing w:line="8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2755">
              <w:rPr>
                <w:rFonts w:ascii="標楷體" w:eastAsia="標楷體" w:hAnsi="標楷體" w:hint="eastAsia"/>
                <w:b/>
                <w:sz w:val="36"/>
                <w:szCs w:val="24"/>
              </w:rPr>
              <w:t>性別平等教育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4" w:name="OLE_LINK57"/>
            <w:bookmarkStart w:id="5" w:name="OLE_LINK58"/>
            <w:bookmarkStart w:id="6" w:name="OLE_LINK59"/>
            <w:bookmarkStart w:id="7" w:name="OLE_LINK65"/>
            <w:bookmarkStart w:id="8" w:name="OLE_LINK66"/>
            <w:bookmarkStart w:id="9" w:name="OLE_LINK67"/>
            <w:bookmarkStart w:id="10" w:name="OLE_LINK158"/>
            <w:bookmarkStart w:id="11" w:name="OLE_LINK159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生理性別</w:t>
            </w:r>
            <w:bookmarkEnd w:id="4"/>
            <w:bookmarkEnd w:id="5"/>
            <w:bookmarkEnd w:id="6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、性傾向、</w:t>
            </w:r>
            <w:bookmarkStart w:id="12" w:name="OLE_LINK74"/>
            <w:bookmarkStart w:id="13" w:name="OLE_LINK75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性別特質與性別認同</w:t>
            </w:r>
            <w:bookmarkEnd w:id="7"/>
            <w:bookmarkEnd w:id="8"/>
            <w:bookmarkEnd w:id="9"/>
            <w:bookmarkEnd w:id="12"/>
            <w:bookmarkEnd w:id="13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多樣性的尊重</w:t>
            </w:r>
            <w:bookmarkEnd w:id="10"/>
            <w:bookmarkEnd w:id="11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kern w:val="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認識</w:t>
            </w:r>
            <w:bookmarkStart w:id="14" w:name="OLE_LINK68"/>
            <w:bookmarkStart w:id="15" w:name="OLE_LINK69"/>
            <w:bookmarkStart w:id="16" w:name="OLE_LINK70"/>
            <w:r w:rsidRPr="008E7514">
              <w:rPr>
                <w:rFonts w:ascii="Arial Black" w:eastAsia="標楷體" w:hAnsi="Arial Black"/>
                <w:szCs w:val="24"/>
              </w:rPr>
              <w:t>生理性別、性傾向、性別特質與性別認同</w:t>
            </w:r>
            <w:bookmarkEnd w:id="14"/>
            <w:bookmarkEnd w:id="15"/>
            <w:bookmarkEnd w:id="16"/>
            <w:r w:rsidRPr="008E7514">
              <w:rPr>
                <w:rFonts w:ascii="Arial Black" w:eastAsia="標楷體" w:hAnsi="Arial Black"/>
                <w:szCs w:val="24"/>
              </w:rPr>
              <w:t>的多元面貌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接納自我與他人性傾向、性別特質與性別認同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bookmarkStart w:id="17" w:name="OLE_LINK18"/>
            <w:bookmarkStart w:id="18" w:name="OLE_LINK19"/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</w:t>
            </w:r>
            <w:bookmarkStart w:id="19" w:name="OLE_LINK78"/>
            <w:bookmarkStart w:id="20" w:name="OLE_LINK77"/>
            <w:bookmarkStart w:id="21" w:name="OLE_LINK76"/>
            <w:bookmarkEnd w:id="17"/>
            <w:bookmarkEnd w:id="18"/>
            <w:bookmarkEnd w:id="19"/>
            <w:bookmarkEnd w:id="20"/>
            <w:bookmarkEnd w:id="21"/>
            <w:r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/>
                <w:szCs w:val="24"/>
              </w:rPr>
              <w:t>肯定自我與尊重他人的性傾向、性別特質與性別認同，突破個人發展的性別限制。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widowControl/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A1</w:t>
            </w:r>
          </w:p>
          <w:p w:rsidR="008E7514" w:rsidRPr="008E7514" w:rsidRDefault="008E7514" w:rsidP="008E7514">
            <w:pPr>
              <w:widowControl/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尊重多元的性別氣質、性傾向與性別認同，以促進性別的自我了解，發展不受性別限制之自我潛能。</w:t>
            </w:r>
          </w:p>
        </w:tc>
      </w:tr>
      <w:tr w:rsidR="008E7514" w:rsidRPr="008E7514" w:rsidTr="00AE2755">
        <w:trPr>
          <w:trHeight w:val="1011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AE2755">
            <w:pPr>
              <w:widowControl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kern w:val="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E2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kern w:val="0"/>
                <w:szCs w:val="24"/>
              </w:rPr>
              <w:t>覺知身體意象對身心的影響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kern w:val="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J2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kern w:val="0"/>
                <w:szCs w:val="24"/>
              </w:rPr>
              <w:t>釐清身體意象的性別迷思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kern w:val="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U2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/>
                <w:szCs w:val="24"/>
              </w:rPr>
              <w:t>探究社會文化與媒體對身體意象的影響。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trike/>
                <w:sz w:val="26"/>
                <w:szCs w:val="26"/>
              </w:rPr>
            </w:pPr>
            <w:bookmarkStart w:id="22" w:name="OLE_LINK160"/>
            <w:bookmarkStart w:id="23" w:name="OLE_LINK161"/>
            <w:bookmarkStart w:id="24" w:name="OLE_LINK162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性別角色的突破與性別歧視的消除</w:t>
            </w:r>
            <w:bookmarkEnd w:id="22"/>
            <w:bookmarkEnd w:id="23"/>
            <w:bookmarkEnd w:id="24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E3</w:t>
            </w:r>
            <w:r w:rsidR="008C68FE"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 w:hint="eastAsia"/>
                <w:szCs w:val="24"/>
              </w:rPr>
              <w:t>覺察性別角色的刻板印象，了解家庭、學校與職業的分工、不應受性別的限制。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J3</w:t>
            </w:r>
            <w:bookmarkStart w:id="25" w:name="OLE_LINK1"/>
            <w:bookmarkStart w:id="26" w:name="OLE_LINK3"/>
            <w:bookmarkStart w:id="27" w:name="OLE_LINK4"/>
            <w:r w:rsidR="008C68FE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檢視家庭、學校、職場中基於性別刻板印象產生的偏見與歧視</w:t>
            </w:r>
            <w:bookmarkEnd w:id="25"/>
            <w:bookmarkEnd w:id="26"/>
            <w:bookmarkEnd w:id="27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U3</w:t>
            </w:r>
            <w:r w:rsidR="008C68FE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分析家庭、學校、職場與媒體中的性別不平等現象，提出改善策略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A2</w:t>
            </w:r>
          </w:p>
          <w:p w:rsidR="00A67BE2" w:rsidRPr="008E7514" w:rsidRDefault="00A67BE2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覺知生活中性別刻板、偏見與歧視，培養性別平等意識，提出促進性別平等的改善策略。</w:t>
            </w:r>
          </w:p>
        </w:tc>
      </w:tr>
      <w:tr w:rsidR="0057036B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AE2755" w:rsidRDefault="0057036B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身體自主權的尊重與維護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A53E6C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E4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="00A53E6C" w:rsidRPr="00A53E6C">
              <w:rPr>
                <w:rFonts w:ascii="Arial Black" w:eastAsia="標楷體" w:hAnsi="Arial Black" w:hint="eastAsia"/>
                <w:szCs w:val="24"/>
              </w:rPr>
              <w:t>認識身體界限與尊重他人的身體自主權。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J4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認識身體自主權相關議題，維護自己與尊重他人的身體自主權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U4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維護與捍衛自己的身體自主權，並尊重他人的身體自主權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A3</w:t>
            </w:r>
          </w:p>
          <w:p w:rsidR="0057036B" w:rsidRPr="008E7514" w:rsidRDefault="0057036B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維護自我與尊重他人身體自主權，善用各項資源，保障性別權益，增進性騷擾、性侵害與性霸凌的防治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(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制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)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能力。</w:t>
            </w:r>
          </w:p>
        </w:tc>
      </w:tr>
      <w:tr w:rsidR="0057036B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AE2755" w:rsidRDefault="0057036B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性騷擾、性侵害、性霸凌的防治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E5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 w:hint="eastAsia"/>
                <w:szCs w:val="24"/>
              </w:rPr>
              <w:t>認識性騷擾、性侵害、性霸凌的概念及其求助管道。</w:t>
            </w:r>
          </w:p>
        </w:tc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J5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辨識性騷擾、性侵害與性霸凌的樣態，運用資源解決問題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U5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 w:hint="eastAsia"/>
                <w:szCs w:val="24"/>
              </w:rPr>
              <w:t>探究性騷擾、性侵害與性霸凌相關議題，並熟知權利救濟的管道與程序。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8E7514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Arial Black" w:eastAsia="標楷體" w:hAnsi="Arial Black"/>
                <w:szCs w:val="24"/>
              </w:rPr>
            </w:pP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語言、文字與符號的性別意涵分析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E6</w:t>
            </w:r>
            <w:r w:rsidR="000E2277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了解圖像、語言與文字的性別意涵，使用性別平等的語言與文字進行溝通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J6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探究各種符號中的性別意涵及人際溝通中的性別問題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U6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 w:hint="eastAsia"/>
                <w:szCs w:val="24"/>
              </w:rPr>
              <w:t>解析符號的性別意涵，並運用具性別平等的語言及符號。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EA1D53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B1</w:t>
            </w:r>
          </w:p>
          <w:p w:rsidR="00A67BE2" w:rsidRPr="008E7514" w:rsidRDefault="00A67BE2" w:rsidP="00EA1D53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了解語言、文字等符號的性別意涵，分析符號與溝通的性別權力關係。</w:t>
            </w: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28" w:name="OLE_LINK163"/>
            <w:bookmarkStart w:id="29" w:name="OLE_LINK164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科技、資訊與媒體的性別識讀</w:t>
            </w:r>
            <w:bookmarkEnd w:id="28"/>
            <w:bookmarkEnd w:id="29"/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E7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解讀各種媒體所傳遞的性別刻板印象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J7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解析各種媒體所傳遞的性別迷思、偏見與歧視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U7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批判科技、資訊與媒體的性別意識形態，並尋求改善策略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EA1D53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B2</w:t>
            </w:r>
          </w:p>
          <w:p w:rsidR="00A67BE2" w:rsidRPr="008E7514" w:rsidRDefault="00A67BE2" w:rsidP="00EA1D53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培養性別平等的媒體識讀與批判能力，思辨人與科技、資訊與媒體之關係。</w:t>
            </w: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J8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解讀科技產品的性別意涵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U8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發展科技與資訊能力，不受性別的限制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2" w:rsidRPr="008E7514" w:rsidRDefault="00A67BE2" w:rsidP="008E7514">
            <w:pPr>
              <w:snapToGrid w:val="0"/>
              <w:spacing w:line="280" w:lineRule="exact"/>
              <w:rPr>
                <w:rFonts w:ascii="Arial Black" w:eastAsia="標楷體" w:hAnsi="Arial Black"/>
                <w:color w:val="000000"/>
                <w:szCs w:val="24"/>
              </w:rPr>
            </w:pP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性別權益與公共參與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E8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了解不同性別者的成就與貢獻。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J9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認識性別權益相關法律與性別平等運動的楷模，具備關懷性別少數的態度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U9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了解性別平等運動的歷史發展，主動參與促進性別平等的社會公共事務，並積極維護性別權益。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BC1E7F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C1</w:t>
            </w:r>
          </w:p>
          <w:p w:rsidR="00A67BE2" w:rsidRPr="008E7514" w:rsidRDefault="00A67BE2" w:rsidP="00BC1E7F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關注性別議題之歷史、相關法律與政策之發展，並積極參與、提出建議方案。</w:t>
            </w:r>
          </w:p>
        </w:tc>
      </w:tr>
      <w:tr w:rsidR="00A67BE2" w:rsidRPr="008E7514" w:rsidTr="00850E67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E9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檢視校園中空間與資源分配的性別落差，並提出改善建議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J10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探究社會中資源運用與分配的性別不平等，並提出解決策略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U10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檢視性別相關政策，並提出看法。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E2" w:rsidRPr="008E7514" w:rsidRDefault="00A67BE2" w:rsidP="008E7514">
            <w:pPr>
              <w:snapToGrid w:val="0"/>
              <w:spacing w:line="280" w:lineRule="exact"/>
              <w:rPr>
                <w:rFonts w:ascii="Arial Black" w:eastAsia="標楷體" w:hAnsi="Arial Black"/>
                <w:color w:val="000000"/>
                <w:szCs w:val="24"/>
              </w:rPr>
            </w:pPr>
          </w:p>
        </w:tc>
      </w:tr>
      <w:tr w:rsidR="008E7514" w:rsidRPr="008E7514" w:rsidTr="00850E67">
        <w:trPr>
          <w:trHeight w:val="1200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30" w:name="OLE_LINK165"/>
            <w:bookmarkStart w:id="31" w:name="OLE_LINK166"/>
            <w:bookmarkStart w:id="32" w:name="OLE_LINK167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性別權力關係與互動</w:t>
            </w:r>
            <w:bookmarkEnd w:id="30"/>
            <w:bookmarkEnd w:id="31"/>
            <w:bookmarkEnd w:id="32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E10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辨識性別刻板的情感表達與人際互動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J11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去除性別刻板與性別偏見的情感表達與溝通，具備與他人平等互動的能力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U11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分析情感關係中的性別權力議題，養成溝通協商與提升處理情感挫折的能力。</w:t>
            </w:r>
          </w:p>
        </w:tc>
        <w:tc>
          <w:tcPr>
            <w:tcW w:w="12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FD7900">
            <w:pPr>
              <w:widowControl/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C2</w:t>
            </w:r>
          </w:p>
          <w:p w:rsidR="008E7514" w:rsidRPr="008E7514" w:rsidRDefault="008E7514" w:rsidP="00FD7900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覺察人際互動與情感關係中的性別權力，提升情感表達、平等溝通與處理情感挫折的能力。</w:t>
            </w:r>
          </w:p>
        </w:tc>
      </w:tr>
      <w:tr w:rsidR="008E7514" w:rsidRPr="008E7514" w:rsidTr="00850E67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E11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培養性別間合宜表達情感的能力。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J12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省思與他人的性別權力關係，促進平等與良好的互動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U12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反思各種互動性別權力關係。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14" w:rsidRPr="008E7514" w:rsidRDefault="008E7514" w:rsidP="008E7514">
            <w:pPr>
              <w:snapToGrid w:val="0"/>
              <w:spacing w:line="280" w:lineRule="exact"/>
              <w:rPr>
                <w:rFonts w:ascii="Arial Black" w:eastAsia="標楷體" w:hAnsi="Arial Black"/>
                <w:color w:val="000000"/>
                <w:szCs w:val="24"/>
              </w:rPr>
            </w:pPr>
          </w:p>
        </w:tc>
      </w:tr>
      <w:tr w:rsidR="00A67BE2" w:rsidRPr="008E7514" w:rsidTr="00850E67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33" w:name="OLE_LINK168"/>
            <w:bookmarkStart w:id="34" w:name="OLE_LINK169"/>
            <w:bookmarkStart w:id="35" w:name="OLE_LINK170"/>
            <w:r w:rsidRPr="00AE27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性別與多元文化</w:t>
            </w:r>
            <w:bookmarkEnd w:id="33"/>
            <w:bookmarkEnd w:id="34"/>
            <w:bookmarkEnd w:id="35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E12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了解與尊重家庭型態的多樣性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J13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了解多元家庭型態的性別意涵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U13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1A2244">
              <w:rPr>
                <w:rFonts w:ascii="Arial Black" w:eastAsia="標楷體" w:hAnsi="Arial Black" w:hint="eastAsia"/>
                <w:szCs w:val="24"/>
              </w:rPr>
              <w:t>探究</w:t>
            </w:r>
            <w:r w:rsidRPr="008E7514">
              <w:rPr>
                <w:rFonts w:ascii="Arial Black" w:eastAsia="標楷體" w:hAnsi="Arial Black"/>
                <w:szCs w:val="24"/>
              </w:rPr>
              <w:t>本土與國際社會的性別與家庭議題</w:t>
            </w:r>
          </w:p>
        </w:tc>
        <w:tc>
          <w:tcPr>
            <w:tcW w:w="12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C3</w:t>
            </w:r>
          </w:p>
          <w:p w:rsidR="00A67BE2" w:rsidRPr="008E7514" w:rsidRDefault="001D4D99" w:rsidP="00FD7900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>
              <w:rPr>
                <w:rFonts w:ascii="Arial Black" w:eastAsia="標楷體" w:hAnsi="Arial Black"/>
                <w:color w:val="000000"/>
                <w:szCs w:val="24"/>
              </w:rPr>
              <w:t>尊重多元文化，關注本土的性別平</w:t>
            </w:r>
            <w:r>
              <w:rPr>
                <w:rFonts w:ascii="Arial Black" w:eastAsia="標楷體" w:hAnsi="Arial Black" w:hint="eastAsia"/>
                <w:color w:val="000000"/>
                <w:szCs w:val="24"/>
              </w:rPr>
              <w:t>等</w:t>
            </w:r>
            <w:r w:rsidR="00A67BE2" w:rsidRPr="008E7514">
              <w:rPr>
                <w:rFonts w:ascii="Arial Black" w:eastAsia="標楷體" w:hAnsi="Arial Black"/>
                <w:color w:val="000000"/>
                <w:szCs w:val="24"/>
              </w:rPr>
              <w:t>事務與全球之性別議題發展趨勢。</w:t>
            </w:r>
          </w:p>
        </w:tc>
      </w:tr>
      <w:tr w:rsidR="00A67BE2" w:rsidRPr="008E7514" w:rsidTr="00850E67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</w:t>
            </w:r>
            <w:bookmarkStart w:id="36" w:name="OLE_LINK60"/>
            <w:bookmarkStart w:id="37" w:name="OLE_LINK61"/>
            <w:r w:rsidRPr="008E7514">
              <w:rPr>
                <w:rFonts w:ascii="Arial Black" w:eastAsia="標楷體" w:hAnsi="Arial Black"/>
                <w:szCs w:val="24"/>
              </w:rPr>
              <w:t>3</w:t>
            </w:r>
            <w:bookmarkEnd w:id="36"/>
            <w:bookmarkEnd w:id="37"/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AB2154">
              <w:rPr>
                <w:rFonts w:ascii="Arial Black" w:eastAsia="標楷體" w:hAnsi="Arial Black"/>
                <w:szCs w:val="24"/>
              </w:rPr>
              <w:t>了解不同社會中的性別文化差異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J14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認識社會中性別、種族與階級的權力結構關係。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U14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善用資源以拓展性別平等的本土與國際視野。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2" w:rsidRPr="008E7514" w:rsidRDefault="00A67BE2" w:rsidP="008E751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0F7740" w:rsidRDefault="000F7740" w:rsidP="00F71472">
      <w:pPr>
        <w:spacing w:line="240" w:lineRule="exact"/>
        <w:ind w:leftChars="-50" w:left="-120" w:rightChars="-50" w:right="-120"/>
        <w:rPr>
          <w:rFonts w:ascii="標楷體" w:eastAsia="標楷體" w:hAnsi="標楷體"/>
          <w:sz w:val="20"/>
          <w:szCs w:val="20"/>
        </w:rPr>
      </w:pPr>
    </w:p>
    <w:p w:rsidR="007671CA" w:rsidRDefault="007671CA" w:rsidP="00F71472">
      <w:pPr>
        <w:spacing w:line="240" w:lineRule="exact"/>
        <w:ind w:leftChars="-50" w:left="-120" w:rightChars="-50" w:right="-120"/>
        <w:rPr>
          <w:rFonts w:ascii="標楷體" w:eastAsia="標楷體" w:hAnsi="標楷體"/>
          <w:sz w:val="20"/>
          <w:szCs w:val="20"/>
        </w:rPr>
      </w:pPr>
    </w:p>
    <w:p w:rsidR="00AB2154" w:rsidRDefault="00AB2154" w:rsidP="00F71472">
      <w:pPr>
        <w:spacing w:line="240" w:lineRule="exact"/>
        <w:ind w:leftChars="-50" w:left="-120" w:rightChars="-50" w:right="-120"/>
        <w:rPr>
          <w:rFonts w:ascii="標楷體" w:eastAsia="標楷體" w:hAnsi="標楷體"/>
          <w:sz w:val="20"/>
          <w:szCs w:val="20"/>
        </w:rPr>
      </w:pPr>
    </w:p>
    <w:p w:rsidR="007671CA" w:rsidRPr="007671CA" w:rsidRDefault="007671CA" w:rsidP="007671CA">
      <w:pPr>
        <w:snapToGrid w:val="0"/>
        <w:spacing w:beforeLines="20" w:before="72" w:afterLines="50" w:after="180" w:line="440" w:lineRule="exact"/>
        <w:jc w:val="center"/>
        <w:rPr>
          <w:rFonts w:ascii="Times New Roman" w:eastAsia="標楷體" w:hAnsi="標楷體"/>
          <w:b/>
          <w:sz w:val="48"/>
          <w:szCs w:val="42"/>
        </w:rPr>
      </w:pPr>
      <w:r w:rsidRPr="007671CA">
        <w:rPr>
          <w:rFonts w:ascii="Times New Roman" w:eastAsia="標楷體" w:hAnsi="標楷體"/>
          <w:b/>
          <w:sz w:val="48"/>
          <w:szCs w:val="42"/>
        </w:rPr>
        <w:lastRenderedPageBreak/>
        <w:t xml:space="preserve">12 </w:t>
      </w:r>
      <w:r w:rsidRPr="007671CA">
        <w:rPr>
          <w:rFonts w:ascii="Times New Roman" w:eastAsia="標楷體" w:hAnsi="標楷體"/>
          <w:b/>
          <w:sz w:val="48"/>
          <w:szCs w:val="42"/>
        </w:rPr>
        <w:t>年國教素養導向教學設計原則─性別平等教育議題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8244"/>
      </w:tblGrid>
      <w:tr w:rsidR="007671CA" w:rsidRPr="00E8259E" w:rsidTr="007671CA">
        <w:trPr>
          <w:trHeight w:val="491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52"/>
              <w:ind w:left="0"/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7671CA">
              <w:rPr>
                <w:rFonts w:ascii="標楷體" w:eastAsia="標楷體" w:hAnsi="標楷體"/>
                <w:sz w:val="40"/>
                <w:szCs w:val="40"/>
                <w:lang w:eastAsia="zh-TW"/>
              </w:rPr>
              <w:t>原則</w:t>
            </w:r>
          </w:p>
          <w:p w:rsidR="007671CA" w:rsidRPr="007671CA" w:rsidRDefault="007671CA" w:rsidP="007671CA">
            <w:pPr>
              <w:pStyle w:val="TableParagraph"/>
              <w:spacing w:before="52"/>
              <w:ind w:left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671CA">
              <w:rPr>
                <w:rFonts w:ascii="標楷體" w:eastAsia="標楷體" w:hAnsi="標楷體" w:hint="eastAsia"/>
                <w:lang w:eastAsia="zh-TW"/>
              </w:rPr>
              <w:t>引自(</w:t>
            </w:r>
            <w:r w:rsidRPr="007671CA">
              <w:rPr>
                <w:rFonts w:ascii="標楷體" w:eastAsia="標楷體" w:hAnsi="標楷體"/>
                <w:lang w:eastAsia="zh-TW"/>
              </w:rPr>
              <w:t>范信賢、陳偉泓</w:t>
            </w:r>
            <w:r w:rsidRPr="007671CA">
              <w:rPr>
                <w:rFonts w:ascii="標楷體" w:eastAsia="標楷體" w:hAnsi="標楷體" w:hint="eastAsia"/>
                <w:lang w:eastAsia="zh-TW"/>
              </w:rPr>
              <w:t>，2016)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52"/>
              <w:ind w:left="2972" w:right="29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671CA">
              <w:rPr>
                <w:rFonts w:ascii="標楷體" w:eastAsia="標楷體" w:hAnsi="標楷體"/>
                <w:sz w:val="40"/>
                <w:szCs w:val="40"/>
              </w:rPr>
              <w:t>檢核指標</w:t>
            </w:r>
          </w:p>
        </w:tc>
      </w:tr>
      <w:tr w:rsidR="007671CA" w:rsidRPr="00E8259E" w:rsidTr="007671CA">
        <w:trPr>
          <w:trHeight w:val="1298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ind w:left="108" w:right="94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1.</w:t>
            </w:r>
            <w:r w:rsidRPr="007671CA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整合知識、技能、態度</w:t>
            </w:r>
            <w:r w:rsidRPr="007671CA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：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強調學習是完整的，不能只偏重知識層面。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91"/>
              <w:ind w:left="107" w:right="92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□能有組織，有系統的呈現教材，引導學生完整學習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平等教育與學科領域之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相關知識、技能與態度。</w:t>
            </w:r>
          </w:p>
          <w:p w:rsidR="007671CA" w:rsidRPr="007671CA" w:rsidRDefault="007671CA" w:rsidP="007671CA">
            <w:pPr>
              <w:pStyle w:val="TableParagraph"/>
              <w:spacing w:before="45"/>
              <w:ind w:left="10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□能適時歸納、總結教材內容，協助學生統整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平等與學科領域之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相關的學習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內容。</w:t>
            </w:r>
          </w:p>
        </w:tc>
      </w:tr>
      <w:tr w:rsidR="007671CA" w:rsidRPr="00E8259E" w:rsidTr="007671CA">
        <w:trPr>
          <w:trHeight w:val="1500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91"/>
              <w:ind w:left="108" w:right="94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2.</w:t>
            </w:r>
            <w:r w:rsidRPr="007671CA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注重情境化、脈絡化的學習</w:t>
            </w:r>
            <w:r w:rsidRPr="007671CA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：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能將學習內容和過程與經驗、事件、情境、脈絡進行適切結合。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ind w:left="107" w:right="9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□能引發學生覺察及省思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所學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平等與學科領域之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知識與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其經驗、事件、情境、脈絡做適切結合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  <w:p w:rsidR="007671CA" w:rsidRPr="007671CA" w:rsidRDefault="007671CA" w:rsidP="007671CA">
            <w:pPr>
              <w:pStyle w:val="TableParagraph"/>
              <w:spacing w:before="45"/>
              <w:ind w:left="10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□能協助學生改善與重新建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立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平等之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生活型態與情境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、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經驗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。</w:t>
            </w:r>
          </w:p>
        </w:tc>
      </w:tr>
      <w:tr w:rsidR="007671CA" w:rsidRPr="00E8259E" w:rsidTr="007671CA">
        <w:trPr>
          <w:trHeight w:val="1610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ind w:left="108" w:right="94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3.</w:t>
            </w:r>
            <w:r w:rsidRPr="007671CA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兼重學習歷程、策略及方法</w:t>
            </w:r>
            <w:r w:rsidRPr="007671CA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：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課程規劃及教學設計能結合學習內容與探究歷程，以陶養學生擁有自學能力，成為終身學習者。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91"/>
              <w:ind w:left="107" w:right="92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□能引導學生以「主題、探究、表現」歷程進行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相關的學習參與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  <w:p w:rsidR="007671CA" w:rsidRPr="007671CA" w:rsidRDefault="007671CA" w:rsidP="007671CA">
            <w:pPr>
              <w:pStyle w:val="TableParagraph"/>
              <w:spacing w:before="45"/>
              <w:ind w:left="10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□能協助學生進行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生活中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問題覺知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，透過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知識理解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，以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重建價值、習得技能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，並付諸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行動實踐等多元層次的學習歷程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</w:tc>
      </w:tr>
      <w:tr w:rsidR="007671CA" w:rsidRPr="00E8259E" w:rsidTr="007671CA">
        <w:trPr>
          <w:trHeight w:val="1528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"/>
              <w:ind w:left="108" w:right="101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4.</w:t>
            </w:r>
            <w:r w:rsidRPr="007671CA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強調實踐力行的表現</w:t>
            </w:r>
            <w:r w:rsidRPr="007671CA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：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讓學生能學以致用，整合所學遷移應用到其他事例，或實際活用於生活中，更可對其所知所行進行後設思考，而有再持續精進的可能。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67"/>
              <w:ind w:left="10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□能引導學生應用所學，以因應解決日常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生活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相關的問題與需求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  <w:p w:rsidR="007671CA" w:rsidRPr="007671CA" w:rsidRDefault="007671CA" w:rsidP="007671CA">
            <w:pPr>
              <w:pStyle w:val="TableParagraph"/>
              <w:spacing w:before="131"/>
              <w:ind w:left="107" w:right="92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□能協助學生能所學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平等與學科領域之知識、技能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遷移與應用，以持續精進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意識、知能與行動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</w:tc>
      </w:tr>
    </w:tbl>
    <w:p w:rsidR="007671CA" w:rsidRPr="00E8259E" w:rsidRDefault="007671CA" w:rsidP="007671CA">
      <w:pPr>
        <w:ind w:firstLineChars="100" w:firstLine="240"/>
        <w:rPr>
          <w:rFonts w:ascii="標楷體" w:eastAsia="標楷體" w:hAnsi="標楷體"/>
        </w:rPr>
      </w:pPr>
    </w:p>
    <w:p w:rsidR="007671CA" w:rsidRPr="007671CA" w:rsidRDefault="007671CA" w:rsidP="00F71472">
      <w:pPr>
        <w:spacing w:line="240" w:lineRule="exact"/>
        <w:ind w:leftChars="-50" w:left="-120" w:rightChars="-50" w:right="-120"/>
        <w:rPr>
          <w:rFonts w:ascii="標楷體" w:eastAsia="標楷體" w:hAnsi="標楷體"/>
          <w:sz w:val="20"/>
          <w:szCs w:val="20"/>
        </w:rPr>
      </w:pPr>
    </w:p>
    <w:sectPr w:rsidR="007671CA" w:rsidRPr="007671CA" w:rsidSect="002C4153">
      <w:pgSz w:w="16838" w:h="23811" w:code="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AE" w:rsidRDefault="00345CAE" w:rsidP="0057304B">
      <w:r>
        <w:separator/>
      </w:r>
    </w:p>
  </w:endnote>
  <w:endnote w:type="continuationSeparator" w:id="0">
    <w:p w:rsidR="00345CAE" w:rsidRDefault="00345CAE" w:rsidP="0057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AE" w:rsidRDefault="00345CAE" w:rsidP="0057304B">
      <w:r>
        <w:separator/>
      </w:r>
    </w:p>
  </w:footnote>
  <w:footnote w:type="continuationSeparator" w:id="0">
    <w:p w:rsidR="00345CAE" w:rsidRDefault="00345CAE" w:rsidP="0057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D3"/>
    <w:rsid w:val="000A6EDC"/>
    <w:rsid w:val="000E2277"/>
    <w:rsid w:val="000F7740"/>
    <w:rsid w:val="00104ECD"/>
    <w:rsid w:val="00165FCC"/>
    <w:rsid w:val="001A19E6"/>
    <w:rsid w:val="001A2244"/>
    <w:rsid w:val="001D4D99"/>
    <w:rsid w:val="002229C8"/>
    <w:rsid w:val="00293193"/>
    <w:rsid w:val="002A7095"/>
    <w:rsid w:val="002C4153"/>
    <w:rsid w:val="00345CAE"/>
    <w:rsid w:val="0057036B"/>
    <w:rsid w:val="0057304B"/>
    <w:rsid w:val="00576D11"/>
    <w:rsid w:val="00705CEE"/>
    <w:rsid w:val="0071133D"/>
    <w:rsid w:val="007671CA"/>
    <w:rsid w:val="007D30E4"/>
    <w:rsid w:val="00850E67"/>
    <w:rsid w:val="008603D3"/>
    <w:rsid w:val="008805FE"/>
    <w:rsid w:val="008C68FE"/>
    <w:rsid w:val="008E7514"/>
    <w:rsid w:val="00A43D54"/>
    <w:rsid w:val="00A53E6C"/>
    <w:rsid w:val="00A67BE2"/>
    <w:rsid w:val="00AA034C"/>
    <w:rsid w:val="00AB2154"/>
    <w:rsid w:val="00AE2755"/>
    <w:rsid w:val="00BC1E7F"/>
    <w:rsid w:val="00C075E2"/>
    <w:rsid w:val="00D912AA"/>
    <w:rsid w:val="00E840FE"/>
    <w:rsid w:val="00EA1D53"/>
    <w:rsid w:val="00F52D83"/>
    <w:rsid w:val="00F71472"/>
    <w:rsid w:val="00FA7C2A"/>
    <w:rsid w:val="00FC56D4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6983AA-8302-4E8E-93FC-92D09E2A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D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1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1CA"/>
    <w:pPr>
      <w:autoSpaceDE w:val="0"/>
      <w:autoSpaceDN w:val="0"/>
      <w:ind w:left="105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3">
    <w:name w:val="header"/>
    <w:basedOn w:val="a"/>
    <w:link w:val="a4"/>
    <w:uiPriority w:val="99"/>
    <w:unhideWhenUsed/>
    <w:rsid w:val="00573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304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3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304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佩珊 謝</dc:creator>
  <cp:keywords/>
  <dc:description/>
  <cp:lastModifiedBy>輔導組長</cp:lastModifiedBy>
  <cp:revision>2</cp:revision>
  <dcterms:created xsi:type="dcterms:W3CDTF">2021-07-23T07:03:00Z</dcterms:created>
  <dcterms:modified xsi:type="dcterms:W3CDTF">2021-07-23T07:03:00Z</dcterms:modified>
</cp:coreProperties>
</file>