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CA" w:rsidRDefault="002E51A9">
      <w:pPr>
        <w:pStyle w:val="Default"/>
        <w:spacing w:line="460" w:lineRule="exact"/>
        <w:jc w:val="center"/>
        <w:rPr>
          <w:b/>
          <w:bCs/>
          <w:sz w:val="40"/>
          <w:szCs w:val="40"/>
        </w:rPr>
      </w:pPr>
      <w:bookmarkStart w:id="0" w:name="_GoBack"/>
      <w:r>
        <w:rPr>
          <w:b/>
          <w:bCs/>
          <w:sz w:val="40"/>
          <w:szCs w:val="40"/>
        </w:rPr>
        <w:t>性別平等工作法律扶助辦法修正條文</w:t>
      </w:r>
    </w:p>
    <w:bookmarkEnd w:id="0"/>
    <w:p w:rsidR="007509CA" w:rsidRDefault="002E51A9">
      <w:pPr>
        <w:pStyle w:val="Default"/>
        <w:spacing w:line="460" w:lineRule="exact"/>
        <w:ind w:left="848" w:hanging="848"/>
        <w:jc w:val="both"/>
        <w:rPr>
          <w:sz w:val="28"/>
          <w:szCs w:val="28"/>
        </w:rPr>
      </w:pPr>
      <w:r>
        <w:rPr>
          <w:sz w:val="28"/>
          <w:szCs w:val="28"/>
        </w:rPr>
        <w:t>第一條　　本辦法依性別平等工作法（以下簡稱本法）第三十七條第二項規定訂定之。</w:t>
      </w:r>
    </w:p>
    <w:p w:rsidR="007509CA" w:rsidRDefault="002E51A9">
      <w:pPr>
        <w:pStyle w:val="Default"/>
        <w:spacing w:line="460" w:lineRule="exact"/>
        <w:ind w:left="848" w:hanging="848"/>
        <w:jc w:val="both"/>
        <w:rPr>
          <w:sz w:val="28"/>
          <w:szCs w:val="28"/>
        </w:rPr>
      </w:pPr>
      <w:r>
        <w:rPr>
          <w:sz w:val="28"/>
          <w:szCs w:val="28"/>
        </w:rPr>
        <w:t>第二條　　地方主管機關為辦理本法第三十七條第一項所定提供法律諮詢或扶助業務，得按年提出實施計畫報中央主管機關，經審核通過後發給補助；其補助條件、基準、審核及核銷作業等事項，由中央主管機關公告之。</w:t>
      </w:r>
    </w:p>
    <w:p w:rsidR="007509CA" w:rsidRDefault="002E51A9">
      <w:pPr>
        <w:pStyle w:val="Default"/>
        <w:spacing w:line="460" w:lineRule="exact"/>
        <w:ind w:left="848" w:hanging="848"/>
        <w:jc w:val="both"/>
        <w:rPr>
          <w:sz w:val="28"/>
          <w:szCs w:val="28"/>
        </w:rPr>
      </w:pPr>
      <w:r>
        <w:rPr>
          <w:sz w:val="28"/>
          <w:szCs w:val="28"/>
        </w:rPr>
        <w:tab/>
      </w:r>
      <w:r>
        <w:rPr>
          <w:sz w:val="28"/>
          <w:szCs w:val="28"/>
        </w:rPr>
        <w:tab/>
      </w:r>
      <w:r>
        <w:rPr>
          <w:sz w:val="28"/>
          <w:szCs w:val="28"/>
        </w:rPr>
        <w:tab/>
      </w:r>
      <w:r>
        <w:rPr>
          <w:sz w:val="28"/>
          <w:szCs w:val="28"/>
        </w:rPr>
        <w:t>前項實施計畫之內容，應包括下列事項：</w:t>
      </w:r>
    </w:p>
    <w:p w:rsidR="007509CA" w:rsidRDefault="002E51A9">
      <w:pPr>
        <w:pStyle w:val="Default"/>
        <w:spacing w:line="460" w:lineRule="exact"/>
        <w:ind w:left="1352" w:firstLine="118"/>
        <w:jc w:val="both"/>
        <w:rPr>
          <w:sz w:val="28"/>
          <w:szCs w:val="28"/>
        </w:rPr>
      </w:pPr>
      <w:r>
        <w:rPr>
          <w:sz w:val="28"/>
          <w:szCs w:val="28"/>
        </w:rPr>
        <w:t>一、法律諮詢與扶助項目預估數量及評估依據。</w:t>
      </w:r>
    </w:p>
    <w:p w:rsidR="007509CA" w:rsidRDefault="002E51A9">
      <w:pPr>
        <w:pStyle w:val="Default"/>
        <w:spacing w:line="460" w:lineRule="exact"/>
        <w:ind w:left="1352" w:firstLine="118"/>
        <w:jc w:val="both"/>
        <w:rPr>
          <w:sz w:val="28"/>
          <w:szCs w:val="28"/>
        </w:rPr>
      </w:pPr>
      <w:r>
        <w:rPr>
          <w:sz w:val="28"/>
          <w:szCs w:val="28"/>
        </w:rPr>
        <w:t>二、辦理方式。</w:t>
      </w:r>
    </w:p>
    <w:p w:rsidR="007509CA" w:rsidRDefault="002E51A9">
      <w:pPr>
        <w:pStyle w:val="Default"/>
        <w:spacing w:line="460" w:lineRule="exact"/>
        <w:ind w:left="1352" w:firstLine="118"/>
        <w:jc w:val="both"/>
        <w:rPr>
          <w:sz w:val="28"/>
          <w:szCs w:val="28"/>
        </w:rPr>
      </w:pPr>
      <w:r>
        <w:rPr>
          <w:sz w:val="28"/>
          <w:szCs w:val="28"/>
        </w:rPr>
        <w:t>三、經費概算表。</w:t>
      </w:r>
    </w:p>
    <w:p w:rsidR="007509CA" w:rsidRDefault="002E51A9">
      <w:pPr>
        <w:pStyle w:val="Default"/>
        <w:spacing w:line="460" w:lineRule="exact"/>
        <w:ind w:left="1352" w:firstLine="118"/>
        <w:jc w:val="both"/>
        <w:rPr>
          <w:sz w:val="28"/>
          <w:szCs w:val="28"/>
        </w:rPr>
      </w:pPr>
      <w:r>
        <w:rPr>
          <w:sz w:val="28"/>
          <w:szCs w:val="28"/>
        </w:rPr>
        <w:t>四、其他經中央主管機關規定之事項。</w:t>
      </w:r>
    </w:p>
    <w:p w:rsidR="007509CA" w:rsidRDefault="002E51A9">
      <w:pPr>
        <w:pStyle w:val="Default"/>
        <w:spacing w:line="460" w:lineRule="exact"/>
        <w:ind w:left="848" w:hanging="848"/>
        <w:jc w:val="both"/>
        <w:rPr>
          <w:sz w:val="28"/>
          <w:szCs w:val="28"/>
        </w:rPr>
      </w:pPr>
      <w:r>
        <w:rPr>
          <w:sz w:val="28"/>
          <w:szCs w:val="28"/>
        </w:rPr>
        <w:t>第三條　　受</w:t>
      </w:r>
      <w:proofErr w:type="gramStart"/>
      <w:r>
        <w:rPr>
          <w:sz w:val="28"/>
          <w:szCs w:val="28"/>
        </w:rPr>
        <w:t>僱</w:t>
      </w:r>
      <w:proofErr w:type="gramEnd"/>
      <w:r>
        <w:rPr>
          <w:sz w:val="28"/>
          <w:szCs w:val="28"/>
        </w:rPr>
        <w:t>者或求職者因雇主違反本法之規定，或遭受性騷擾，而向法院提出法律訴訟時，地方主管機關得提供之法律扶助項目如下：</w:t>
      </w:r>
    </w:p>
    <w:p w:rsidR="007509CA" w:rsidRDefault="002E51A9">
      <w:pPr>
        <w:pStyle w:val="Default"/>
        <w:tabs>
          <w:tab w:val="left" w:pos="1416"/>
        </w:tabs>
        <w:spacing w:line="460" w:lineRule="exact"/>
        <w:ind w:left="848" w:hanging="848"/>
        <w:jc w:val="both"/>
        <w:rPr>
          <w:sz w:val="28"/>
          <w:szCs w:val="28"/>
        </w:rPr>
      </w:pPr>
      <w:r>
        <w:rPr>
          <w:sz w:val="28"/>
          <w:szCs w:val="28"/>
        </w:rPr>
        <w:tab/>
      </w:r>
      <w:r>
        <w:rPr>
          <w:sz w:val="28"/>
          <w:szCs w:val="28"/>
        </w:rPr>
        <w:tab/>
      </w:r>
      <w:r>
        <w:rPr>
          <w:sz w:val="28"/>
          <w:szCs w:val="28"/>
        </w:rPr>
        <w:t>一、法律諮詢。</w:t>
      </w:r>
    </w:p>
    <w:p w:rsidR="007509CA" w:rsidRDefault="002E51A9">
      <w:pPr>
        <w:pStyle w:val="Default"/>
        <w:tabs>
          <w:tab w:val="left" w:pos="1416"/>
          <w:tab w:val="left" w:pos="1590"/>
        </w:tabs>
        <w:spacing w:line="460" w:lineRule="exact"/>
        <w:ind w:left="848" w:hanging="848"/>
        <w:jc w:val="both"/>
        <w:rPr>
          <w:sz w:val="28"/>
          <w:szCs w:val="28"/>
        </w:rPr>
      </w:pPr>
      <w:r>
        <w:rPr>
          <w:sz w:val="28"/>
          <w:szCs w:val="28"/>
        </w:rPr>
        <w:tab/>
      </w:r>
      <w:r>
        <w:rPr>
          <w:sz w:val="28"/>
          <w:szCs w:val="28"/>
        </w:rPr>
        <w:tab/>
      </w:r>
      <w:r>
        <w:rPr>
          <w:sz w:val="28"/>
          <w:szCs w:val="28"/>
        </w:rPr>
        <w:t>二、律師代撰民事書狀之費用。</w:t>
      </w:r>
    </w:p>
    <w:p w:rsidR="007509CA" w:rsidRDefault="002E51A9">
      <w:pPr>
        <w:pStyle w:val="Default"/>
        <w:spacing w:line="460" w:lineRule="exact"/>
        <w:ind w:left="2016" w:hanging="598"/>
        <w:jc w:val="both"/>
        <w:rPr>
          <w:sz w:val="28"/>
          <w:szCs w:val="28"/>
        </w:rPr>
      </w:pPr>
      <w:r>
        <w:rPr>
          <w:sz w:val="28"/>
          <w:szCs w:val="28"/>
        </w:rPr>
        <w:t>三、勞動事件之調解</w:t>
      </w:r>
      <w:r>
        <w:rPr>
          <w:sz w:val="28"/>
          <w:szCs w:val="28"/>
        </w:rPr>
        <w:t xml:space="preserve"> (</w:t>
      </w:r>
      <w:r>
        <w:rPr>
          <w:sz w:val="28"/>
          <w:szCs w:val="28"/>
        </w:rPr>
        <w:t>以下簡稱勞動調解</w:t>
      </w:r>
      <w:r>
        <w:rPr>
          <w:sz w:val="28"/>
          <w:szCs w:val="28"/>
        </w:rPr>
        <w:t xml:space="preserve">) </w:t>
      </w:r>
      <w:r>
        <w:rPr>
          <w:sz w:val="28"/>
          <w:szCs w:val="28"/>
        </w:rPr>
        <w:t>程序、民事訴訟程序、保全程序、督促程序及強制執行程序之律師費及其必要費用。</w:t>
      </w:r>
    </w:p>
    <w:p w:rsidR="007509CA" w:rsidRDefault="002E51A9">
      <w:pPr>
        <w:pStyle w:val="Default"/>
        <w:spacing w:line="460" w:lineRule="exact"/>
        <w:ind w:left="2016" w:hanging="598"/>
        <w:jc w:val="both"/>
        <w:rPr>
          <w:sz w:val="28"/>
          <w:szCs w:val="28"/>
        </w:rPr>
      </w:pPr>
      <w:r>
        <w:rPr>
          <w:sz w:val="28"/>
          <w:szCs w:val="28"/>
        </w:rPr>
        <w:t>四、勞動調解及訴訟期間必要生活費用。</w:t>
      </w:r>
    </w:p>
    <w:p w:rsidR="007509CA" w:rsidRDefault="002E51A9">
      <w:pPr>
        <w:pStyle w:val="Default"/>
        <w:spacing w:line="460" w:lineRule="exact"/>
        <w:ind w:left="882" w:firstLine="577"/>
        <w:jc w:val="both"/>
        <w:rPr>
          <w:sz w:val="28"/>
          <w:szCs w:val="28"/>
        </w:rPr>
      </w:pPr>
      <w:r>
        <w:rPr>
          <w:sz w:val="28"/>
          <w:szCs w:val="28"/>
        </w:rPr>
        <w:t>前項第四款勞動調解及訴訟期間必要生活費用，為受</w:t>
      </w:r>
      <w:proofErr w:type="gramStart"/>
      <w:r>
        <w:rPr>
          <w:sz w:val="28"/>
          <w:szCs w:val="28"/>
        </w:rPr>
        <w:t>僱</w:t>
      </w:r>
      <w:proofErr w:type="gramEnd"/>
      <w:r>
        <w:rPr>
          <w:sz w:val="28"/>
          <w:szCs w:val="28"/>
        </w:rPr>
        <w:t>者因雇主違反本法之規定，或遭受性騷擾致終止勞動契約，於勞動調解或訴訟期間無工作收入，而向地方主管機關申請之補助。</w:t>
      </w:r>
    </w:p>
    <w:p w:rsidR="007509CA" w:rsidRDefault="002E51A9">
      <w:pPr>
        <w:pStyle w:val="Default"/>
        <w:spacing w:line="460" w:lineRule="exact"/>
        <w:ind w:left="882" w:firstLine="577"/>
        <w:jc w:val="both"/>
        <w:rPr>
          <w:sz w:val="28"/>
          <w:szCs w:val="28"/>
        </w:rPr>
      </w:pPr>
      <w:r>
        <w:rPr>
          <w:sz w:val="28"/>
          <w:szCs w:val="28"/>
        </w:rPr>
        <w:t>第一項第二款至第四款之扶助，與政府機關所定其他扶助或補助性質相同者，應擇</w:t>
      </w:r>
      <w:proofErr w:type="gramStart"/>
      <w:r>
        <w:rPr>
          <w:sz w:val="28"/>
          <w:szCs w:val="28"/>
        </w:rPr>
        <w:t>一</w:t>
      </w:r>
      <w:proofErr w:type="gramEnd"/>
      <w:r>
        <w:rPr>
          <w:sz w:val="28"/>
          <w:szCs w:val="28"/>
        </w:rPr>
        <w:t>適用，不得重複申請。</w:t>
      </w:r>
    </w:p>
    <w:p w:rsidR="007509CA" w:rsidRDefault="002E51A9">
      <w:pPr>
        <w:pStyle w:val="Default"/>
        <w:spacing w:line="460" w:lineRule="exact"/>
        <w:ind w:left="848" w:hanging="848"/>
        <w:jc w:val="both"/>
        <w:rPr>
          <w:sz w:val="28"/>
          <w:szCs w:val="28"/>
        </w:rPr>
      </w:pPr>
      <w:r>
        <w:rPr>
          <w:sz w:val="28"/>
          <w:szCs w:val="28"/>
        </w:rPr>
        <w:t>第四條　　地方主管機關獲得第二條補助者，應依核定之實施計畫辦理；其計畫內容如有變更者，應於變更前十日，報請中央主管機關同意。</w:t>
      </w:r>
    </w:p>
    <w:p w:rsidR="007509CA" w:rsidRDefault="002E51A9">
      <w:pPr>
        <w:pStyle w:val="Default"/>
        <w:spacing w:line="460" w:lineRule="exact"/>
        <w:ind w:left="848" w:hanging="848"/>
        <w:jc w:val="both"/>
        <w:rPr>
          <w:sz w:val="28"/>
          <w:szCs w:val="28"/>
        </w:rPr>
      </w:pPr>
      <w:r>
        <w:rPr>
          <w:sz w:val="28"/>
          <w:szCs w:val="28"/>
        </w:rPr>
        <w:t>第五條　　地方主管機關獲得第二條補助者，於中央主管機關辦理業務訪視及考核時，不得規避、妨礙或拒絕。</w:t>
      </w:r>
    </w:p>
    <w:p w:rsidR="007509CA" w:rsidRDefault="002E51A9">
      <w:pPr>
        <w:pStyle w:val="Default"/>
        <w:spacing w:line="460" w:lineRule="exact"/>
        <w:ind w:left="848" w:hanging="848"/>
        <w:jc w:val="both"/>
        <w:rPr>
          <w:sz w:val="28"/>
          <w:szCs w:val="28"/>
        </w:rPr>
      </w:pPr>
      <w:r>
        <w:rPr>
          <w:sz w:val="28"/>
          <w:szCs w:val="28"/>
        </w:rPr>
        <w:lastRenderedPageBreak/>
        <w:t>第六條　　地方主管機關獲得第</w:t>
      </w:r>
      <w:r>
        <w:rPr>
          <w:sz w:val="28"/>
          <w:szCs w:val="28"/>
        </w:rPr>
        <w:t>二條補助者，應於執行年度終了前，將執行成果及核銷報告送中央主管機關備查。</w:t>
      </w:r>
    </w:p>
    <w:p w:rsidR="007509CA" w:rsidRDefault="002E51A9">
      <w:pPr>
        <w:pStyle w:val="Default"/>
        <w:spacing w:line="460" w:lineRule="exact"/>
        <w:ind w:left="848" w:hanging="848"/>
        <w:jc w:val="both"/>
        <w:rPr>
          <w:sz w:val="28"/>
          <w:szCs w:val="28"/>
        </w:rPr>
      </w:pPr>
      <w:r>
        <w:rPr>
          <w:sz w:val="28"/>
          <w:szCs w:val="28"/>
        </w:rPr>
        <w:t>第七條　　地方主管機關獲得第二條補助，有下列情事之</w:t>
      </w:r>
      <w:proofErr w:type="gramStart"/>
      <w:r>
        <w:rPr>
          <w:sz w:val="28"/>
          <w:szCs w:val="28"/>
        </w:rPr>
        <w:t>一</w:t>
      </w:r>
      <w:proofErr w:type="gramEnd"/>
      <w:r>
        <w:rPr>
          <w:sz w:val="28"/>
          <w:szCs w:val="28"/>
        </w:rPr>
        <w:t>者，經通知限期改善而屆期未改善，中央主管機關得撤銷或廢止全部或一部之補助；已補助者，應限期命其返還：</w:t>
      </w:r>
    </w:p>
    <w:p w:rsidR="007509CA" w:rsidRDefault="002E51A9">
      <w:pPr>
        <w:pStyle w:val="Default"/>
        <w:tabs>
          <w:tab w:val="left" w:pos="1464"/>
        </w:tabs>
        <w:spacing w:line="460" w:lineRule="exact"/>
        <w:ind w:left="848" w:hanging="848"/>
        <w:jc w:val="both"/>
        <w:rPr>
          <w:sz w:val="28"/>
          <w:szCs w:val="28"/>
        </w:rPr>
      </w:pPr>
      <w:r>
        <w:rPr>
          <w:sz w:val="28"/>
          <w:szCs w:val="28"/>
        </w:rPr>
        <w:tab/>
      </w:r>
      <w:r>
        <w:rPr>
          <w:sz w:val="28"/>
          <w:szCs w:val="28"/>
        </w:rPr>
        <w:tab/>
      </w:r>
      <w:r>
        <w:rPr>
          <w:sz w:val="28"/>
          <w:szCs w:val="28"/>
        </w:rPr>
        <w:t>一、</w:t>
      </w:r>
      <w:proofErr w:type="gramStart"/>
      <w:r>
        <w:rPr>
          <w:sz w:val="28"/>
          <w:szCs w:val="28"/>
        </w:rPr>
        <w:t>不實請領</w:t>
      </w:r>
      <w:proofErr w:type="gramEnd"/>
      <w:r>
        <w:rPr>
          <w:sz w:val="28"/>
          <w:szCs w:val="28"/>
        </w:rPr>
        <w:t>或溢領。</w:t>
      </w:r>
    </w:p>
    <w:p w:rsidR="007509CA" w:rsidRDefault="002E51A9">
      <w:pPr>
        <w:pStyle w:val="Default"/>
        <w:spacing w:line="460" w:lineRule="exact"/>
        <w:ind w:left="1328" w:firstLine="112"/>
        <w:jc w:val="both"/>
        <w:rPr>
          <w:sz w:val="28"/>
          <w:szCs w:val="28"/>
        </w:rPr>
      </w:pPr>
      <w:r>
        <w:rPr>
          <w:sz w:val="28"/>
          <w:szCs w:val="28"/>
        </w:rPr>
        <w:t>二、執行內容與原核定計畫不符。</w:t>
      </w:r>
    </w:p>
    <w:p w:rsidR="007509CA" w:rsidRDefault="002E51A9">
      <w:pPr>
        <w:pStyle w:val="Default"/>
        <w:spacing w:line="460" w:lineRule="exact"/>
        <w:ind w:left="1328" w:firstLine="112"/>
        <w:jc w:val="both"/>
        <w:rPr>
          <w:sz w:val="28"/>
          <w:szCs w:val="28"/>
        </w:rPr>
      </w:pPr>
      <w:r>
        <w:rPr>
          <w:sz w:val="28"/>
          <w:szCs w:val="28"/>
        </w:rPr>
        <w:t>三、規避、妨礙或拒絕中央主管機關辦理業務訪視及考核。</w:t>
      </w:r>
    </w:p>
    <w:p w:rsidR="007509CA" w:rsidRDefault="002E51A9">
      <w:pPr>
        <w:pStyle w:val="Default"/>
        <w:spacing w:line="460" w:lineRule="exact"/>
        <w:ind w:left="1328" w:firstLine="112"/>
        <w:jc w:val="both"/>
        <w:rPr>
          <w:sz w:val="28"/>
          <w:szCs w:val="28"/>
        </w:rPr>
      </w:pPr>
      <w:r>
        <w:rPr>
          <w:sz w:val="28"/>
          <w:szCs w:val="28"/>
        </w:rPr>
        <w:t>四、經中央主管機關考核成效不佳。</w:t>
      </w:r>
    </w:p>
    <w:p w:rsidR="007509CA" w:rsidRDefault="002E51A9">
      <w:pPr>
        <w:pStyle w:val="Default"/>
        <w:spacing w:line="460" w:lineRule="exact"/>
        <w:ind w:left="848" w:hanging="848"/>
        <w:jc w:val="both"/>
        <w:rPr>
          <w:sz w:val="28"/>
          <w:szCs w:val="28"/>
        </w:rPr>
      </w:pPr>
      <w:r>
        <w:rPr>
          <w:sz w:val="28"/>
          <w:szCs w:val="28"/>
        </w:rPr>
        <w:t>第八條　　本辦法所規定之書表及文件，由中央主管機關定之。</w:t>
      </w:r>
    </w:p>
    <w:p w:rsidR="007509CA" w:rsidRDefault="002E51A9">
      <w:pPr>
        <w:pStyle w:val="Default"/>
        <w:spacing w:line="460" w:lineRule="exact"/>
        <w:ind w:left="848" w:hanging="848"/>
        <w:jc w:val="both"/>
        <w:rPr>
          <w:sz w:val="28"/>
          <w:szCs w:val="28"/>
        </w:rPr>
      </w:pPr>
      <w:r>
        <w:rPr>
          <w:sz w:val="28"/>
          <w:szCs w:val="28"/>
        </w:rPr>
        <w:t>第九條　　第二條中央主管機關補助之經費，由其編列預算支應。</w:t>
      </w:r>
    </w:p>
    <w:p w:rsidR="007509CA" w:rsidRDefault="002E51A9">
      <w:pPr>
        <w:pStyle w:val="Default"/>
        <w:spacing w:line="460" w:lineRule="exact"/>
        <w:ind w:left="848" w:hanging="848"/>
        <w:jc w:val="both"/>
        <w:rPr>
          <w:sz w:val="28"/>
          <w:szCs w:val="28"/>
        </w:rPr>
      </w:pPr>
      <w:r>
        <w:rPr>
          <w:sz w:val="28"/>
          <w:szCs w:val="28"/>
        </w:rPr>
        <w:t>第十條　　本辦法自發</w:t>
      </w:r>
      <w:r>
        <w:rPr>
          <w:sz w:val="28"/>
          <w:szCs w:val="28"/>
        </w:rPr>
        <w:t>布日施行。</w:t>
      </w:r>
    </w:p>
    <w:p w:rsidR="007509CA" w:rsidRDefault="002E51A9">
      <w:pPr>
        <w:pStyle w:val="Default"/>
        <w:spacing w:line="460" w:lineRule="exact"/>
        <w:ind w:left="849" w:hanging="283"/>
        <w:jc w:val="both"/>
        <w:rPr>
          <w:sz w:val="28"/>
          <w:szCs w:val="28"/>
        </w:rPr>
      </w:pPr>
      <w:r>
        <w:rPr>
          <w:sz w:val="28"/>
          <w:szCs w:val="28"/>
        </w:rPr>
        <w:t xml:space="preserve">　　　</w:t>
      </w:r>
    </w:p>
    <w:p w:rsidR="007509CA" w:rsidRDefault="007509CA">
      <w:pPr>
        <w:pStyle w:val="Standarduser"/>
        <w:spacing w:line="460" w:lineRule="exact"/>
      </w:pPr>
    </w:p>
    <w:sectPr w:rsidR="007509CA">
      <w:footerReference w:type="default" r:id="rId7"/>
      <w:pgSz w:w="11906" w:h="16838"/>
      <w:pgMar w:top="720"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A9" w:rsidRDefault="002E51A9">
      <w:r>
        <w:separator/>
      </w:r>
    </w:p>
  </w:endnote>
  <w:endnote w:type="continuationSeparator" w:id="0">
    <w:p w:rsidR="002E51A9" w:rsidRDefault="002E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91" w:rsidRDefault="002E51A9">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A9" w:rsidRDefault="002E51A9">
      <w:r>
        <w:rPr>
          <w:color w:val="000000"/>
        </w:rPr>
        <w:separator/>
      </w:r>
    </w:p>
  </w:footnote>
  <w:footnote w:type="continuationSeparator" w:id="0">
    <w:p w:rsidR="002E51A9" w:rsidRDefault="002E51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CF9"/>
    <w:multiLevelType w:val="multilevel"/>
    <w:tmpl w:val="EBA0F834"/>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A62704F"/>
    <w:multiLevelType w:val="multilevel"/>
    <w:tmpl w:val="8E84D89C"/>
    <w:styleLink w:val="WWNum10"/>
    <w:lvl w:ilvl="0">
      <w:start w:val="1"/>
      <w:numFmt w:val="japaneseCounting"/>
      <w:suff w:val="nothing"/>
      <w:lvlText w:val="%1、"/>
      <w:lvlJc w:val="left"/>
      <w:pPr>
        <w:ind w:left="482" w:hanging="482"/>
      </w:pPr>
      <w:rPr>
        <w:rFonts w:eastAsia="標楷體"/>
      </w:rPr>
    </w:lvl>
    <w:lvl w:ilvl="1">
      <w:start w:val="1"/>
      <w:numFmt w:val="japaneseCounting"/>
      <w:suff w:val="nothing"/>
      <w:lvlText w:val="(%1.%2)"/>
      <w:lvlJc w:val="left"/>
      <w:pPr>
        <w:ind w:left="879" w:hanging="397"/>
      </w:pPr>
      <w:rPr>
        <w:rFonts w:eastAsia="標楷體"/>
      </w:rPr>
    </w:lvl>
    <w:lvl w:ilvl="2">
      <w:start w:val="1"/>
      <w:numFmt w:val="decimal"/>
      <w:suff w:val="nothing"/>
      <w:lvlText w:val="%1.%2.%3."/>
      <w:lvlJc w:val="left"/>
      <w:pPr>
        <w:ind w:left="1060" w:hanging="181"/>
      </w:pPr>
      <w:rPr>
        <w:rFonts w:eastAsia="標楷體"/>
      </w:rPr>
    </w:lvl>
    <w:lvl w:ilvl="3">
      <w:start w:val="1"/>
      <w:numFmt w:val="decimal"/>
      <w:suff w:val="nothing"/>
      <w:lvlText w:val="(%1.%2.%3.%4)"/>
      <w:lvlJc w:val="left"/>
      <w:pPr>
        <w:ind w:left="1338" w:hanging="278"/>
      </w:pPr>
      <w:rPr>
        <w:rFonts w:eastAsia="標楷體"/>
      </w:rPr>
    </w:lvl>
    <w:lvl w:ilvl="4">
      <w:start w:val="1"/>
      <w:numFmt w:val="upperLetter"/>
      <w:suff w:val="nothing"/>
      <w:lvlText w:val="%1.%2.%3.%4.%5."/>
      <w:lvlJc w:val="left"/>
      <w:pPr>
        <w:ind w:left="1571" w:hanging="232"/>
      </w:pPr>
      <w:rPr>
        <w:rFonts w:eastAsia="標楷體"/>
      </w:rPr>
    </w:lvl>
    <w:lvl w:ilvl="5">
      <w:start w:val="1"/>
      <w:numFmt w:val="upperLetter"/>
      <w:suff w:val="nothing"/>
      <w:lvlText w:val="(%1.%2.%3.%4.%5.%6)"/>
      <w:lvlJc w:val="left"/>
      <w:pPr>
        <w:ind w:left="1905" w:hanging="335"/>
      </w:pPr>
      <w:rPr>
        <w:rFonts w:eastAsia="標楷體"/>
      </w:rPr>
    </w:lvl>
    <w:lvl w:ilvl="6">
      <w:start w:val="1"/>
      <w:numFmt w:val="lowerLetter"/>
      <w:suff w:val="nothing"/>
      <w:lvlText w:val="%1.%2.%3.%4.%5.%6.%7."/>
      <w:lvlJc w:val="left"/>
      <w:pPr>
        <w:ind w:left="1905" w:firstLine="0"/>
      </w:pPr>
      <w:rPr>
        <w:rFonts w:eastAsia="標楷體"/>
      </w:rPr>
    </w:lvl>
    <w:lvl w:ilvl="7">
      <w:start w:val="1"/>
      <w:numFmt w:val="lowerLetter"/>
      <w:suff w:val="nothing"/>
      <w:lvlText w:val="(%1.%2.%3.%4.%5.%6.%7.%8)"/>
      <w:lvlJc w:val="left"/>
      <w:pPr>
        <w:ind w:left="1905" w:firstLine="0"/>
      </w:pPr>
      <w:rPr>
        <w:rFonts w:eastAsia="標楷體"/>
      </w:rPr>
    </w:lvl>
    <w:lvl w:ilvl="8">
      <w:start w:val="1"/>
      <w:numFmt w:val="lowerLetter"/>
      <w:suff w:val="nothing"/>
      <w:lvlText w:val="%1.%2.%3.%4.%5.%6.%7.%8.%9."/>
      <w:lvlJc w:val="left"/>
      <w:pPr>
        <w:ind w:left="1905" w:firstLine="0"/>
      </w:pPr>
      <w:rPr>
        <w:rFonts w:eastAsia="標楷體"/>
      </w:rPr>
    </w:lvl>
  </w:abstractNum>
  <w:abstractNum w:abstractNumId="2" w15:restartNumberingAfterBreak="0">
    <w:nsid w:val="13AB47B7"/>
    <w:multiLevelType w:val="multilevel"/>
    <w:tmpl w:val="19A65774"/>
    <w:styleLink w:val="WWNum7"/>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3" w15:restartNumberingAfterBreak="0">
    <w:nsid w:val="1E00217D"/>
    <w:multiLevelType w:val="multilevel"/>
    <w:tmpl w:val="EC9A831C"/>
    <w:styleLink w:val="WWNum6"/>
    <w:lvl w:ilvl="0">
      <w:start w:val="1"/>
      <w:numFmt w:val="japaneseCounting"/>
      <w:lvlText w:val="%1、"/>
      <w:lvlJc w:val="left"/>
      <w:pPr>
        <w:ind w:left="487" w:hanging="504"/>
      </w:pPr>
    </w:lvl>
    <w:lvl w:ilvl="1">
      <w:start w:val="1"/>
      <w:numFmt w:val="ideographTraditional"/>
      <w:lvlText w:val="%1.%2、"/>
      <w:lvlJc w:val="left"/>
      <w:pPr>
        <w:ind w:left="943" w:hanging="480"/>
      </w:pPr>
    </w:lvl>
    <w:lvl w:ilvl="2">
      <w:start w:val="1"/>
      <w:numFmt w:val="lowerRoman"/>
      <w:lvlText w:val="%1.%2.%3."/>
      <w:lvlJc w:val="right"/>
      <w:pPr>
        <w:ind w:left="1423" w:hanging="480"/>
      </w:pPr>
    </w:lvl>
    <w:lvl w:ilvl="3">
      <w:start w:val="1"/>
      <w:numFmt w:val="decimal"/>
      <w:lvlText w:val="%1.%2.%3.%4."/>
      <w:lvlJc w:val="left"/>
      <w:pPr>
        <w:ind w:left="1903" w:hanging="480"/>
      </w:pPr>
    </w:lvl>
    <w:lvl w:ilvl="4">
      <w:start w:val="1"/>
      <w:numFmt w:val="ideographTraditional"/>
      <w:lvlText w:val="%1.%2.%3.%4.%5、"/>
      <w:lvlJc w:val="left"/>
      <w:pPr>
        <w:ind w:left="2383" w:hanging="480"/>
      </w:pPr>
    </w:lvl>
    <w:lvl w:ilvl="5">
      <w:start w:val="1"/>
      <w:numFmt w:val="lowerRoman"/>
      <w:lvlText w:val="%1.%2.%3.%4.%5.%6."/>
      <w:lvlJc w:val="right"/>
      <w:pPr>
        <w:ind w:left="2863" w:hanging="480"/>
      </w:pPr>
    </w:lvl>
    <w:lvl w:ilvl="6">
      <w:start w:val="1"/>
      <w:numFmt w:val="decimal"/>
      <w:lvlText w:val="%1.%2.%3.%4.%5.%6.%7."/>
      <w:lvlJc w:val="left"/>
      <w:pPr>
        <w:ind w:left="3343" w:hanging="480"/>
      </w:pPr>
    </w:lvl>
    <w:lvl w:ilvl="7">
      <w:start w:val="1"/>
      <w:numFmt w:val="ideographTraditional"/>
      <w:lvlText w:val="%1.%2.%3.%4.%5.%6.%7.%8、"/>
      <w:lvlJc w:val="left"/>
      <w:pPr>
        <w:ind w:left="3823" w:hanging="480"/>
      </w:pPr>
    </w:lvl>
    <w:lvl w:ilvl="8">
      <w:start w:val="1"/>
      <w:numFmt w:val="lowerRoman"/>
      <w:lvlText w:val="%1.%2.%3.%4.%5.%6.%7.%8.%9."/>
      <w:lvlJc w:val="right"/>
      <w:pPr>
        <w:ind w:left="4303" w:hanging="480"/>
      </w:pPr>
    </w:lvl>
  </w:abstractNum>
  <w:abstractNum w:abstractNumId="4" w15:restartNumberingAfterBreak="0">
    <w:nsid w:val="2F2313C8"/>
    <w:multiLevelType w:val="multilevel"/>
    <w:tmpl w:val="2D440BC4"/>
    <w:styleLink w:val="WWNum13"/>
    <w:lvl w:ilvl="0">
      <w:start w:val="1"/>
      <w:numFmt w:val="japaneseCounting"/>
      <w:lvlText w:val="%1、"/>
      <w:lvlJc w:val="left"/>
      <w:pPr>
        <w:ind w:left="504" w:hanging="504"/>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3500008F"/>
    <w:multiLevelType w:val="multilevel"/>
    <w:tmpl w:val="1D663E2E"/>
    <w:styleLink w:val="WWNum11"/>
    <w:lvl w:ilvl="0">
      <w:start w:val="1"/>
      <w:numFmt w:val="japaneseCounting"/>
      <w:lvlText w:val="%1、"/>
      <w:lvlJc w:val="left"/>
      <w:pPr>
        <w:ind w:left="480" w:hanging="480"/>
      </w:pPr>
      <w:rPr>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39FD5B54"/>
    <w:multiLevelType w:val="multilevel"/>
    <w:tmpl w:val="F54E4162"/>
    <w:styleLink w:val="WWNum8"/>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7" w15:restartNumberingAfterBreak="0">
    <w:nsid w:val="3CE85FD9"/>
    <w:multiLevelType w:val="multilevel"/>
    <w:tmpl w:val="C00C2892"/>
    <w:styleLink w:val="WWNum3"/>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8" w15:restartNumberingAfterBreak="0">
    <w:nsid w:val="47E26349"/>
    <w:multiLevelType w:val="multilevel"/>
    <w:tmpl w:val="829E85A2"/>
    <w:styleLink w:val="WWNum5"/>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9" w15:restartNumberingAfterBreak="0">
    <w:nsid w:val="50D306B0"/>
    <w:multiLevelType w:val="multilevel"/>
    <w:tmpl w:val="790C309E"/>
    <w:styleLink w:val="WWNum2"/>
    <w:lvl w:ilvl="0">
      <w:start w:val="1"/>
      <w:numFmt w:val="japaneseCounting"/>
      <w:suff w:val="nothing"/>
      <w:lvlText w:val="%1、"/>
      <w:lvlJc w:val="left"/>
      <w:pPr>
        <w:ind w:left="482" w:hanging="482"/>
      </w:pPr>
      <w:rPr>
        <w:rFonts w:eastAsia="標楷體"/>
      </w:rPr>
    </w:lvl>
    <w:lvl w:ilvl="1">
      <w:start w:val="1"/>
      <w:numFmt w:val="japaneseCounting"/>
      <w:suff w:val="nothing"/>
      <w:lvlText w:val="(%1.%2)"/>
      <w:lvlJc w:val="left"/>
      <w:pPr>
        <w:ind w:left="879" w:hanging="397"/>
      </w:pPr>
    </w:lvl>
    <w:lvl w:ilvl="2">
      <w:start w:val="1"/>
      <w:numFmt w:val="decimal"/>
      <w:suff w:val="nothing"/>
      <w:lvlText w:val="%1.%2.%3."/>
      <w:lvlJc w:val="right"/>
      <w:pPr>
        <w:ind w:left="1060" w:hanging="181"/>
      </w:pPr>
    </w:lvl>
    <w:lvl w:ilvl="3">
      <w:start w:val="1"/>
      <w:numFmt w:val="decimal"/>
      <w:suff w:val="nothing"/>
      <w:lvlText w:val="(%1.%2.%3.%4)"/>
      <w:lvlJc w:val="left"/>
      <w:pPr>
        <w:ind w:left="1338" w:hanging="278"/>
      </w:pPr>
    </w:lvl>
    <w:lvl w:ilvl="4">
      <w:start w:val="1"/>
      <w:numFmt w:val="upperLetter"/>
      <w:suff w:val="nothing"/>
      <w:lvlText w:val="%1.%2.%3.%4.%5."/>
      <w:lvlJc w:val="left"/>
      <w:pPr>
        <w:ind w:left="1571" w:hanging="232"/>
      </w:pPr>
    </w:lvl>
    <w:lvl w:ilvl="5">
      <w:start w:val="1"/>
      <w:numFmt w:val="upperLetter"/>
      <w:suff w:val="nothing"/>
      <w:lvlText w:val="(%1.%2.%3.%4.%5.%6)"/>
      <w:lvlJc w:val="right"/>
      <w:pPr>
        <w:ind w:left="1905" w:hanging="335"/>
      </w:pPr>
    </w:lvl>
    <w:lvl w:ilvl="6">
      <w:start w:val="1"/>
      <w:numFmt w:val="lowerLetter"/>
      <w:suff w:val="nothing"/>
      <w:lvlText w:val="%1.%2.%3.%4.%5.%6.%7."/>
      <w:lvlJc w:val="left"/>
      <w:pPr>
        <w:ind w:left="1905" w:firstLine="0"/>
      </w:pPr>
    </w:lvl>
    <w:lvl w:ilvl="7">
      <w:start w:val="1"/>
      <w:numFmt w:val="lowerLetter"/>
      <w:suff w:val="nothing"/>
      <w:lvlText w:val="(%1.%2.%3.%4.%5.%6.%7.%8)"/>
      <w:lvlJc w:val="left"/>
      <w:pPr>
        <w:ind w:left="1905" w:firstLine="0"/>
      </w:pPr>
    </w:lvl>
    <w:lvl w:ilvl="8">
      <w:start w:val="1"/>
      <w:numFmt w:val="lowerLetter"/>
      <w:suff w:val="nothing"/>
      <w:lvlText w:val="%1.%2.%3.%4.%5.%6.%7.%8.%9."/>
      <w:lvlJc w:val="right"/>
      <w:pPr>
        <w:ind w:left="1905" w:firstLine="0"/>
      </w:pPr>
    </w:lvl>
  </w:abstractNum>
  <w:abstractNum w:abstractNumId="10" w15:restartNumberingAfterBreak="0">
    <w:nsid w:val="5BBC0218"/>
    <w:multiLevelType w:val="multilevel"/>
    <w:tmpl w:val="FDBA7094"/>
    <w:styleLink w:val="WWNum12"/>
    <w:lvl w:ilvl="0">
      <w:start w:val="1"/>
      <w:numFmt w:val="japaneseCounting"/>
      <w:lvlText w:val="%1、"/>
      <w:lvlJc w:val="left"/>
      <w:pPr>
        <w:ind w:left="504" w:hanging="504"/>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5F603FF2"/>
    <w:multiLevelType w:val="multilevel"/>
    <w:tmpl w:val="AC3C20F4"/>
    <w:styleLink w:val="WWNum4"/>
    <w:lvl w:ilvl="0">
      <w:start w:val="1"/>
      <w:numFmt w:val="japaneseCounting"/>
      <w:lvlText w:val="%1、"/>
      <w:lvlJc w:val="left"/>
      <w:pPr>
        <w:ind w:left="474" w:hanging="510"/>
      </w:pPr>
      <w:rPr>
        <w:rFonts w:eastAsia="標楷體"/>
      </w:rPr>
    </w:lvl>
    <w:lvl w:ilvl="1">
      <w:start w:val="1"/>
      <w:numFmt w:val="ideographTraditional"/>
      <w:lvlText w:val="%1.%2、"/>
      <w:lvlJc w:val="left"/>
      <w:pPr>
        <w:ind w:left="924" w:hanging="480"/>
      </w:pPr>
    </w:lvl>
    <w:lvl w:ilvl="2">
      <w:start w:val="1"/>
      <w:numFmt w:val="lowerRoman"/>
      <w:lvlText w:val="%1.%2.%3."/>
      <w:lvlJc w:val="right"/>
      <w:pPr>
        <w:ind w:left="1404" w:hanging="480"/>
      </w:pPr>
    </w:lvl>
    <w:lvl w:ilvl="3">
      <w:start w:val="1"/>
      <w:numFmt w:val="decimal"/>
      <w:lvlText w:val="%1.%2.%3.%4."/>
      <w:lvlJc w:val="left"/>
      <w:pPr>
        <w:ind w:left="1884" w:hanging="480"/>
      </w:pPr>
    </w:lvl>
    <w:lvl w:ilvl="4">
      <w:start w:val="1"/>
      <w:numFmt w:val="ideographTraditional"/>
      <w:lvlText w:val="%1.%2.%3.%4.%5、"/>
      <w:lvlJc w:val="left"/>
      <w:pPr>
        <w:ind w:left="2364" w:hanging="480"/>
      </w:pPr>
    </w:lvl>
    <w:lvl w:ilvl="5">
      <w:start w:val="1"/>
      <w:numFmt w:val="lowerRoman"/>
      <w:lvlText w:val="%1.%2.%3.%4.%5.%6."/>
      <w:lvlJc w:val="right"/>
      <w:pPr>
        <w:ind w:left="2844" w:hanging="480"/>
      </w:pPr>
    </w:lvl>
    <w:lvl w:ilvl="6">
      <w:start w:val="1"/>
      <w:numFmt w:val="decimal"/>
      <w:lvlText w:val="%1.%2.%3.%4.%5.%6.%7."/>
      <w:lvlJc w:val="left"/>
      <w:pPr>
        <w:ind w:left="3324" w:hanging="480"/>
      </w:pPr>
    </w:lvl>
    <w:lvl w:ilvl="7">
      <w:start w:val="1"/>
      <w:numFmt w:val="ideographTraditional"/>
      <w:lvlText w:val="%1.%2.%3.%4.%5.%6.%7.%8、"/>
      <w:lvlJc w:val="left"/>
      <w:pPr>
        <w:ind w:left="3804" w:hanging="480"/>
      </w:pPr>
    </w:lvl>
    <w:lvl w:ilvl="8">
      <w:start w:val="1"/>
      <w:numFmt w:val="lowerRoman"/>
      <w:lvlText w:val="%1.%2.%3.%4.%5.%6.%7.%8.%9."/>
      <w:lvlJc w:val="right"/>
      <w:pPr>
        <w:ind w:left="4284" w:hanging="480"/>
      </w:pPr>
    </w:lvl>
  </w:abstractNum>
  <w:abstractNum w:abstractNumId="12" w15:restartNumberingAfterBreak="0">
    <w:nsid w:val="5F9E7B16"/>
    <w:multiLevelType w:val="multilevel"/>
    <w:tmpl w:val="C248BB2C"/>
    <w:styleLink w:val="WWNum9"/>
    <w:lvl w:ilvl="0">
      <w:start w:val="1"/>
      <w:numFmt w:val="japaneseCounting"/>
      <w:lvlText w:val="%1、"/>
      <w:lvlJc w:val="left"/>
      <w:pPr>
        <w:ind w:left="480" w:hanging="48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60E1547C"/>
    <w:multiLevelType w:val="multilevel"/>
    <w:tmpl w:val="D25CD2C2"/>
    <w:styleLink w:val="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4" w15:restartNumberingAfterBreak="0">
    <w:nsid w:val="66BA2E1A"/>
    <w:multiLevelType w:val="multilevel"/>
    <w:tmpl w:val="BDF871FE"/>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14"/>
  </w:num>
  <w:num w:numId="2">
    <w:abstractNumId w:val="13"/>
  </w:num>
  <w:num w:numId="3">
    <w:abstractNumId w:val="0"/>
  </w:num>
  <w:num w:numId="4">
    <w:abstractNumId w:val="9"/>
  </w:num>
  <w:num w:numId="5">
    <w:abstractNumId w:val="7"/>
  </w:num>
  <w:num w:numId="6">
    <w:abstractNumId w:val="11"/>
  </w:num>
  <w:num w:numId="7">
    <w:abstractNumId w:val="8"/>
  </w:num>
  <w:num w:numId="8">
    <w:abstractNumId w:val="3"/>
  </w:num>
  <w:num w:numId="9">
    <w:abstractNumId w:val="2"/>
  </w:num>
  <w:num w:numId="10">
    <w:abstractNumId w:val="6"/>
  </w:num>
  <w:num w:numId="11">
    <w:abstractNumId w:val="12"/>
  </w:num>
  <w:num w:numId="12">
    <w:abstractNumId w:val="1"/>
  </w:num>
  <w:num w:numId="13">
    <w:abstractNumId w:val="5"/>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509CA"/>
    <w:rsid w:val="00155EAE"/>
    <w:rsid w:val="002E51A9"/>
    <w:rsid w:val="007509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9CDFF-AB51-4E04-AC3A-8FEADAFF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新細明體"/>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140" w:line="276" w:lineRule="auto"/>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spacing w:line="480" w:lineRule="exact"/>
    </w:pPr>
  </w:style>
  <w:style w:type="paragraph" w:customStyle="1" w:styleId="Textbodyuser">
    <w:name w:val="Text body (user)"/>
    <w:basedOn w:val="Standarduser"/>
    <w:pPr>
      <w:spacing w:after="140" w:line="288" w:lineRule="auto"/>
    </w:pPr>
  </w:style>
  <w:style w:type="paragraph" w:customStyle="1" w:styleId="Default">
    <w:name w:val="Default"/>
    <w:pPr>
      <w:suppressAutoHyphens/>
    </w:pPr>
    <w:rPr>
      <w:rFonts w:ascii="標楷體" w:eastAsia="標楷體" w:hAnsi="標楷體" w:cs="標楷體"/>
      <w:color w:val="000000"/>
      <w:szCs w:val="24"/>
    </w:rPr>
  </w:style>
  <w:style w:type="paragraph" w:styleId="HTML">
    <w:name w:val="HTML Preformatted"/>
    <w:basedOn w:val="Standarduse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Cs w:val="24"/>
    </w:rPr>
  </w:style>
  <w:style w:type="paragraph" w:styleId="a5">
    <w:name w:val="Salutation"/>
    <w:basedOn w:val="Standarduser"/>
    <w:rPr>
      <w:rFonts w:ascii="標楷體" w:eastAsia="標楷體" w:hAnsi="標楷體" w:cs="標楷體"/>
      <w:color w:val="000000"/>
      <w:sz w:val="28"/>
      <w:szCs w:val="28"/>
    </w:rPr>
  </w:style>
  <w:style w:type="paragraph" w:styleId="a6">
    <w:name w:val="Closing"/>
    <w:basedOn w:val="Standarduser"/>
    <w:pPr>
      <w:ind w:left="100"/>
    </w:pPr>
    <w:rPr>
      <w:rFonts w:ascii="標楷體" w:eastAsia="標楷體" w:hAnsi="標楷體" w:cs="標楷體"/>
      <w:color w:val="000000"/>
      <w:sz w:val="28"/>
      <w:szCs w:val="28"/>
    </w:rPr>
  </w:style>
  <w:style w:type="paragraph" w:customStyle="1" w:styleId="HeaderandFooter">
    <w:name w:val="Header and Footer"/>
    <w:basedOn w:val="Standarduser"/>
    <w:pPr>
      <w:suppressLineNumbers/>
      <w:tabs>
        <w:tab w:val="center" w:pos="4819"/>
        <w:tab w:val="right" w:pos="9638"/>
      </w:tabs>
    </w:p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paragraph" w:styleId="Web">
    <w:name w:val="Normal (Web)"/>
    <w:basedOn w:val="Standarduser"/>
    <w:pPr>
      <w:widowControl/>
      <w:spacing w:before="280" w:after="142" w:line="288" w:lineRule="auto"/>
    </w:pPr>
    <w:rPr>
      <w:rFonts w:ascii="新細明體" w:hAnsi="新細明體"/>
      <w:szCs w:val="24"/>
    </w:rPr>
  </w:style>
  <w:style w:type="paragraph" w:customStyle="1" w:styleId="TableContents">
    <w:name w:val="Table Contents"/>
    <w:basedOn w:val="Standarduser"/>
    <w:pPr>
      <w:suppressLineNumbers/>
    </w:pPr>
  </w:style>
  <w:style w:type="character" w:customStyle="1" w:styleId="HTML0">
    <w:name w:val="HTML 預設格式 字元"/>
    <w:basedOn w:val="a0"/>
    <w:rPr>
      <w:rFonts w:ascii="細明體" w:eastAsia="細明體" w:hAnsi="細明體" w:cs="細明體"/>
      <w:szCs w:val="24"/>
    </w:rPr>
  </w:style>
  <w:style w:type="character" w:customStyle="1" w:styleId="a9">
    <w:name w:val="問候 字元"/>
    <w:basedOn w:val="a0"/>
    <w:rPr>
      <w:rFonts w:ascii="標楷體" w:eastAsia="標楷體" w:hAnsi="標楷體" w:cs="新細明體"/>
      <w:color w:val="000000"/>
      <w:sz w:val="28"/>
      <w:szCs w:val="28"/>
    </w:rPr>
  </w:style>
  <w:style w:type="character" w:customStyle="1" w:styleId="aa">
    <w:name w:val="結語 字元"/>
    <w:basedOn w:val="a0"/>
    <w:rPr>
      <w:rFonts w:ascii="標楷體" w:eastAsia="標楷體" w:hAnsi="標楷體" w:cs="新細明體"/>
      <w:color w:val="000000"/>
      <w:sz w:val="28"/>
      <w:szCs w:val="2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user">
    <w:name w:val="Internet link (user)"/>
    <w:basedOn w:val="a0"/>
    <w:rPr>
      <w:color w:val="0000FF"/>
      <w:u w:val="single"/>
    </w:rPr>
  </w:style>
  <w:style w:type="character" w:customStyle="1" w:styleId="Internetlink">
    <w:name w:val="Internet link"/>
    <w:basedOn w:val="a0"/>
    <w:rPr>
      <w:color w:val="0000FF"/>
      <w:u w:val="single"/>
    </w:rPr>
  </w:style>
  <w:style w:type="character" w:customStyle="1" w:styleId="label-eng">
    <w:name w:val="label-eng"/>
    <w:basedOn w:val="a0"/>
  </w:style>
  <w:style w:type="character" w:customStyle="1" w:styleId="NumberingSymbols">
    <w:name w:val="Numbering Symbols"/>
    <w:rPr>
      <w:rFonts w:eastAsia="標楷體"/>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character" w:customStyle="1" w:styleId="ListLabel5">
    <w:name w:val="ListLabel 5"/>
    <w:rPr>
      <w:rFonts w:eastAsia="標楷體"/>
    </w:rPr>
  </w:style>
  <w:style w:type="character" w:customStyle="1" w:styleId="ListLabel6">
    <w:name w:val="ListLabel 6"/>
    <w:rPr>
      <w:rFonts w:eastAsia="標楷體"/>
    </w:rPr>
  </w:style>
  <w:style w:type="character" w:customStyle="1" w:styleId="ListLabel7">
    <w:name w:val="ListLabel 7"/>
    <w:rPr>
      <w:rFonts w:eastAsia="標楷體"/>
    </w:rPr>
  </w:style>
  <w:style w:type="character" w:customStyle="1" w:styleId="ListLabel8">
    <w:name w:val="ListLabel 8"/>
    <w:rPr>
      <w:rFonts w:eastAsia="標楷體"/>
    </w:rPr>
  </w:style>
  <w:style w:type="character" w:customStyle="1" w:styleId="ListLabel9">
    <w:name w:val="ListLabel 9"/>
    <w:rPr>
      <w:rFonts w:eastAsia="標楷體"/>
    </w:rPr>
  </w:style>
  <w:style w:type="character" w:customStyle="1" w:styleId="ListLabel10">
    <w:name w:val="ListLabel 10"/>
    <w:rPr>
      <w:rFonts w:eastAsia="標楷體"/>
    </w:rPr>
  </w:style>
  <w:style w:type="character" w:customStyle="1" w:styleId="ListLabel11">
    <w:name w:val="ListLabel 11"/>
    <w:rPr>
      <w:rFonts w:eastAsia="標楷體"/>
    </w:rPr>
  </w:style>
  <w:style w:type="character" w:customStyle="1" w:styleId="ListLabel12">
    <w:name w:val="ListLabel 12"/>
    <w:rPr>
      <w:rFonts w:eastAsia="標楷體"/>
    </w:rPr>
  </w:style>
  <w:style w:type="character" w:customStyle="1" w:styleId="ListLabel13">
    <w:name w:val="ListLabel 13"/>
    <w:rPr>
      <w:rFonts w:eastAsia="標楷體"/>
    </w:rPr>
  </w:style>
  <w:style w:type="character" w:customStyle="1" w:styleId="ListLabel14">
    <w:name w:val="ListLabel 14"/>
    <w:rPr>
      <w:rFonts w:eastAsia="標楷體"/>
    </w:rPr>
  </w:style>
  <w:style w:type="character" w:customStyle="1" w:styleId="ListLabel15">
    <w:name w:val="ListLabel 15"/>
    <w:rPr>
      <w:rFonts w:eastAsia="標楷體"/>
    </w:rPr>
  </w:style>
  <w:style w:type="character" w:customStyle="1" w:styleId="ListLabel16">
    <w:name w:val="ListLabel 16"/>
    <w:rPr>
      <w:rFonts w:eastAsia="標楷體"/>
    </w:rPr>
  </w:style>
  <w:style w:type="character" w:customStyle="1" w:styleId="ListLabel17">
    <w:name w:val="ListLabel 17"/>
    <w:rPr>
      <w:u w:val="none"/>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Company>HOME</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吳炎烈</dc:creator>
  <cp:lastModifiedBy>USER</cp:lastModifiedBy>
  <cp:revision>2</cp:revision>
  <cp:lastPrinted>2024-01-15T06:29:00Z</cp:lastPrinted>
  <dcterms:created xsi:type="dcterms:W3CDTF">2024-01-26T03:34:00Z</dcterms:created>
  <dcterms:modified xsi:type="dcterms:W3CDTF">2024-01-26T03:34:00Z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