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8" w:rsidRPr="0012278F" w:rsidRDefault="00476808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</w:p>
    <w:p w:rsidR="00476808" w:rsidRDefault="00476808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476808" w:rsidRPr="00EC7BD5" w:rsidRDefault="00476808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bookmarkEnd w:id="0"/>
    <w:p w:rsidR="00476808" w:rsidRPr="00007AE0" w:rsidRDefault="00476808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476808" w:rsidRPr="00007AE0" w:rsidRDefault="00476808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476808" w:rsidRPr="00007AE0" w:rsidRDefault="00476808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476808" w:rsidRPr="00761FAF" w:rsidRDefault="00476808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現職合格專任教師之錄取資格優先順序：</w:t>
      </w:r>
      <w:r w:rsidRPr="00007AE0">
        <w:rPr>
          <w:rFonts w:ascii="標楷體" w:eastAsia="標楷體" w:hAnsi="標楷體"/>
          <w:sz w:val="28"/>
          <w:szCs w:val="28"/>
        </w:rPr>
        <w:t xml:space="preserve"> </w:t>
      </w:r>
    </w:p>
    <w:p w:rsidR="00476808" w:rsidRPr="00761FAF" w:rsidRDefault="00476808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476808" w:rsidRPr="00761FAF" w:rsidRDefault="00476808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476808" w:rsidRPr="00007AE0" w:rsidRDefault="00476808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476808" w:rsidRPr="00007AE0" w:rsidRDefault="00476808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476808" w:rsidRPr="00007AE0" w:rsidRDefault="00476808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476808" w:rsidRPr="00007AE0" w:rsidRDefault="00476808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476808" w:rsidRPr="00007AE0" w:rsidRDefault="00476808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476808" w:rsidRPr="00007AE0" w:rsidRDefault="00476808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476808" w:rsidRPr="00007AE0" w:rsidRDefault="00476808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476808" w:rsidRPr="00007AE0" w:rsidRDefault="00476808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476808" w:rsidRPr="00007AE0" w:rsidRDefault="00476808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476808" w:rsidRPr="00761FAF" w:rsidRDefault="00476808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</w:t>
      </w:r>
      <w:r w:rsidRPr="00761FAF">
        <w:rPr>
          <w:rFonts w:ascii="標楷體" w:eastAsia="標楷體" w:hAnsi="標楷體"/>
          <w:sz w:val="28"/>
          <w:szCs w:val="28"/>
        </w:rPr>
        <w:t>10,000</w:t>
      </w:r>
      <w:r w:rsidRPr="00761FAF">
        <w:rPr>
          <w:rFonts w:ascii="標楷體" w:eastAsia="標楷體" w:hAnsi="標楷體" w:hint="eastAsia"/>
          <w:sz w:val="28"/>
          <w:szCs w:val="28"/>
        </w:rPr>
        <w:t>元，並簽立切結書。</w:t>
      </w:r>
    </w:p>
    <w:p w:rsidR="00476808" w:rsidRPr="00761FAF" w:rsidRDefault="00476808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476808" w:rsidRPr="00761FAF" w:rsidRDefault="00476808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476808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08" w:rsidRDefault="00476808" w:rsidP="008D5BEF">
      <w:r>
        <w:separator/>
      </w:r>
    </w:p>
  </w:endnote>
  <w:endnote w:type="continuationSeparator" w:id="0">
    <w:p w:rsidR="00476808" w:rsidRDefault="00476808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08" w:rsidRDefault="00476808" w:rsidP="008D5BEF">
      <w:r>
        <w:separator/>
      </w:r>
    </w:p>
  </w:footnote>
  <w:footnote w:type="continuationSeparator" w:id="0">
    <w:p w:rsidR="00476808" w:rsidRDefault="00476808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7AE0"/>
    <w:rsid w:val="000A363E"/>
    <w:rsid w:val="0012278F"/>
    <w:rsid w:val="00237405"/>
    <w:rsid w:val="00246506"/>
    <w:rsid w:val="0033674B"/>
    <w:rsid w:val="004073CB"/>
    <w:rsid w:val="00476808"/>
    <w:rsid w:val="006C70E3"/>
    <w:rsid w:val="006E5263"/>
    <w:rsid w:val="006F1F72"/>
    <w:rsid w:val="00761FAF"/>
    <w:rsid w:val="008D5BEF"/>
    <w:rsid w:val="00A22F8D"/>
    <w:rsid w:val="00BF22C2"/>
    <w:rsid w:val="00C970FC"/>
    <w:rsid w:val="00D174CC"/>
    <w:rsid w:val="00D22E41"/>
    <w:rsid w:val="00D952E7"/>
    <w:rsid w:val="00E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</Words>
  <Characters>520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dcterms:created xsi:type="dcterms:W3CDTF">2016-06-03T05:08:00Z</dcterms:created>
  <dcterms:modified xsi:type="dcterms:W3CDTF">2016-06-03T05:08:00Z</dcterms:modified>
</cp:coreProperties>
</file>