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29" w:rsidRPr="00781C29" w:rsidRDefault="00781C29" w:rsidP="00781C29">
      <w:pPr>
        <w:widowControl/>
        <w:spacing w:line="400" w:lineRule="atLeast"/>
        <w:jc w:val="center"/>
        <w:textAlignment w:val="baseline"/>
        <w:rPr>
          <w:rFonts w:ascii="inherit" w:eastAsia="微軟正黑體" w:hAnsi="inherit" w:cs="新細明體"/>
          <w:color w:val="333333"/>
          <w:kern w:val="0"/>
          <w:szCs w:val="24"/>
        </w:rPr>
      </w:pPr>
      <w:r w:rsidRPr="00781C29">
        <w:rPr>
          <w:rFonts w:ascii="inherit" w:eastAsia="微軟正黑體" w:hAnsi="inherit" w:cs="新細明體"/>
          <w:b/>
          <w:bCs/>
          <w:color w:val="333333"/>
          <w:kern w:val="0"/>
          <w:sz w:val="36"/>
          <w:szCs w:val="36"/>
          <w:bdr w:val="none" w:sz="0" w:space="0" w:color="auto" w:frame="1"/>
        </w:rPr>
        <w:t>財團法人行天宮文教發展促進基金會</w:t>
      </w:r>
    </w:p>
    <w:p w:rsidR="00781C29" w:rsidRPr="00781C29" w:rsidRDefault="00781C29" w:rsidP="00781C29">
      <w:pPr>
        <w:widowControl/>
        <w:spacing w:line="400" w:lineRule="atLeast"/>
        <w:jc w:val="center"/>
        <w:textAlignment w:val="baseline"/>
        <w:rPr>
          <w:rFonts w:ascii="inherit" w:eastAsia="微軟正黑體" w:hAnsi="inherit" w:cs="新細明體"/>
          <w:color w:val="333333"/>
          <w:kern w:val="0"/>
          <w:szCs w:val="24"/>
        </w:rPr>
      </w:pPr>
      <w:r w:rsidRPr="00781C29">
        <w:rPr>
          <w:rFonts w:ascii="inherit" w:eastAsia="微軟正黑體" w:hAnsi="inherit" w:cs="新細明體"/>
          <w:color w:val="333333"/>
          <w:kern w:val="0"/>
          <w:szCs w:val="24"/>
        </w:rPr>
        <w:t> </w:t>
      </w:r>
    </w:p>
    <w:p w:rsidR="00781C29" w:rsidRPr="00781C29" w:rsidRDefault="00781C29" w:rsidP="00781C29">
      <w:pPr>
        <w:widowControl/>
        <w:spacing w:line="400" w:lineRule="atLeast"/>
        <w:jc w:val="center"/>
        <w:textAlignment w:val="baseline"/>
        <w:rPr>
          <w:rFonts w:ascii="inherit" w:eastAsia="微軟正黑體" w:hAnsi="inherit" w:cs="新細明體"/>
          <w:color w:val="333333"/>
          <w:kern w:val="0"/>
          <w:szCs w:val="24"/>
        </w:rPr>
      </w:pPr>
      <w:bookmarkStart w:id="0" w:name="_GoBack"/>
      <w:r w:rsidRPr="00781C29">
        <w:rPr>
          <w:rFonts w:ascii="華康粗明體" w:eastAsia="華康粗明體" w:hAnsi="inherit" w:cs="新細明體" w:hint="eastAsia"/>
          <w:b/>
          <w:bCs/>
          <w:color w:val="333333"/>
          <w:kern w:val="0"/>
          <w:sz w:val="39"/>
          <w:szCs w:val="39"/>
          <w:bdr w:val="none" w:sz="0" w:space="0" w:color="auto" w:frame="1"/>
        </w:rPr>
        <w:t>行天宮助學金</w:t>
      </w:r>
      <w:r w:rsidRPr="00781C29">
        <w:rPr>
          <w:rFonts w:ascii="華康粗明體" w:eastAsia="華康粗明體" w:hAnsi="inherit" w:cs="新細明體" w:hint="eastAsia"/>
          <w:b/>
          <w:bCs/>
          <w:color w:val="333333"/>
          <w:kern w:val="0"/>
          <w:sz w:val="39"/>
          <w:szCs w:val="39"/>
          <w:bdr w:val="none" w:sz="0" w:space="0" w:color="auto" w:frame="1"/>
        </w:rPr>
        <w:t> </w:t>
      </w:r>
      <w:r w:rsidRPr="00781C29">
        <w:rPr>
          <w:rFonts w:ascii="華康粗明體" w:eastAsia="華康粗明體" w:hAnsi="inherit" w:cs="新細明體" w:hint="eastAsia"/>
          <w:b/>
          <w:bCs/>
          <w:color w:val="333333"/>
          <w:kern w:val="0"/>
          <w:sz w:val="39"/>
          <w:szCs w:val="39"/>
          <w:bdr w:val="none" w:sz="0" w:space="0" w:color="auto" w:frame="1"/>
        </w:rPr>
        <w:t xml:space="preserve"> 實施辦法</w:t>
      </w:r>
    </w:p>
    <w:bookmarkEnd w:id="0"/>
    <w:p w:rsidR="00781C29" w:rsidRPr="00781C29" w:rsidRDefault="00781C29" w:rsidP="00781C29">
      <w:pPr>
        <w:widowControl/>
        <w:spacing w:line="400" w:lineRule="atLeast"/>
        <w:jc w:val="center"/>
        <w:textAlignment w:val="baseline"/>
        <w:rPr>
          <w:rFonts w:ascii="inherit" w:eastAsia="微軟正黑體" w:hAnsi="inherit" w:cs="新細明體"/>
          <w:color w:val="333333"/>
          <w:kern w:val="0"/>
          <w:szCs w:val="24"/>
        </w:rPr>
      </w:pPr>
      <w:r w:rsidRPr="00781C29">
        <w:rPr>
          <w:rFonts w:ascii="inherit" w:eastAsia="微軟正黑體" w:hAnsi="inherit" w:cs="新細明體"/>
          <w:color w:val="333333"/>
          <w:kern w:val="0"/>
          <w:szCs w:val="24"/>
        </w:rPr>
        <w:t> </w:t>
      </w:r>
    </w:p>
    <w:p w:rsidR="00781C29" w:rsidRPr="00781C29" w:rsidRDefault="00781C29" w:rsidP="00781C29">
      <w:pPr>
        <w:widowControl/>
        <w:jc w:val="right"/>
        <w:textAlignment w:val="baseline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訂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定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於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民國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85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年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9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月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20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日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第一次修訂於民國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97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年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2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月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11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日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第二次修訂於民國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97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年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11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月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17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日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第三次修訂於民國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100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年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2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月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10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日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第四次修訂於民國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106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年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5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月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18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日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第五次修訂於民國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107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年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2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月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14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日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第六次修訂於民國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107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年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8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月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02</w:t>
      </w:r>
      <w:r w:rsidRPr="00781C29">
        <w:rPr>
          <w:rFonts w:ascii="inherit" w:eastAsia="微軟正黑體" w:hAnsi="inherit" w:cs="新細明體"/>
          <w:color w:val="333333"/>
          <w:kern w:val="0"/>
          <w:sz w:val="18"/>
          <w:szCs w:val="18"/>
          <w:bdr w:val="none" w:sz="0" w:space="0" w:color="auto" w:frame="1"/>
        </w:rPr>
        <w:t>日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inherit" w:eastAsia="華康粗明體" w:hAnsi="inherit" w:cs="新細明體"/>
          <w:b/>
          <w:bCs/>
          <w:color w:val="006699"/>
          <w:kern w:val="0"/>
          <w:sz w:val="33"/>
          <w:szCs w:val="33"/>
          <w:bdr w:val="none" w:sz="0" w:space="0" w:color="auto" w:frame="1"/>
        </w:rPr>
        <w:t>壹、宗旨：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華康粗明體" w:eastAsia="華康粗明體" w:hAnsi="inherit" w:cs="新細明體" w:hint="eastAsia"/>
          <w:b/>
          <w:bCs/>
          <w:color w:val="006699"/>
          <w:kern w:val="0"/>
          <w:sz w:val="33"/>
          <w:szCs w:val="33"/>
          <w:bdr w:val="none" w:sz="0" w:space="0" w:color="auto" w:frame="1"/>
        </w:rPr>
        <w:t>貳、名稱：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t>本助學金名稱定為「財團法人行天宮文教發展促進基金會行天宮助學金」，實施辦法以下簡稱本辦法。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華康粗明體" w:eastAsia="華康粗明體" w:hAnsi="inherit" w:cs="新細明體" w:hint="eastAsia"/>
          <w:b/>
          <w:bCs/>
          <w:color w:val="006699"/>
          <w:kern w:val="0"/>
          <w:sz w:val="33"/>
          <w:szCs w:val="33"/>
          <w:bdr w:val="none" w:sz="0" w:space="0" w:color="auto" w:frame="1"/>
        </w:rPr>
        <w:t>參、助學對象及助學金額：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Pr="00781C29">
        <w:rPr>
          <w:rFonts w:ascii="inherit" w:eastAsia="微軟正黑體" w:hAnsi="inherit" w:cs="新細明體"/>
          <w:b/>
          <w:bCs/>
          <w:color w:val="333333"/>
          <w:kern w:val="0"/>
          <w:sz w:val="27"/>
          <w:szCs w:val="27"/>
          <w:bdr w:val="none" w:sz="0" w:space="0" w:color="auto" w:frame="1"/>
        </w:rPr>
        <w:t>一、一般助學及長期助學對象：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t>國內經政府立案之公私立國小、國中、高中(職)及大專學校在學學生(長期助學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lastRenderedPageBreak/>
        <w:t>不包含大專學校在學學生)，因下列情形致就學困難者。惟年滿25歲(含)以上者、研究所以上學生、延修學生、軍警校學生、推廣教育學生、空中大學學生或在職進修學生皆不列入本辦法之助學對象。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t>（一）因父、母親或主要經濟負擔者死亡、罹患重大傷病、失蹤、服刑、身障等情形或家庭遭遇重大災難者。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>（二）單親、隔代教養、特殊境遇或扶養人口眾多等長期貧困家庭。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>（三）由本會於一般助學及行天宮學生急難濟助審核通過之學生中，擇定若干名長期助學學生。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inherit" w:eastAsia="微軟正黑體" w:hAnsi="inherit" w:cs="新細明體"/>
          <w:b/>
          <w:bCs/>
          <w:color w:val="333333"/>
          <w:kern w:val="0"/>
          <w:sz w:val="27"/>
          <w:szCs w:val="27"/>
          <w:bdr w:val="none" w:sz="0" w:space="0" w:color="auto" w:frame="1"/>
        </w:rPr>
        <w:t>二、</w:t>
      </w:r>
      <w:r w:rsidRPr="00781C29">
        <w:rPr>
          <w:rFonts w:ascii="inherit" w:eastAsia="微軟正黑體" w:hAnsi="inherit" w:cs="新細明體"/>
          <w:b/>
          <w:bCs/>
          <w:color w:val="333333"/>
          <w:kern w:val="0"/>
          <w:sz w:val="27"/>
          <w:szCs w:val="27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b/>
          <w:bCs/>
          <w:kern w:val="0"/>
          <w:sz w:val="27"/>
          <w:szCs w:val="27"/>
          <w:bdr w:val="none" w:sz="0" w:space="0" w:color="auto" w:frame="1"/>
        </w:rPr>
        <w:t>一般助學金額：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t>（一）國小組：經評選後，每名發放助學金新台幣參仟元整。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>（二）國中組：經評選後，每名發放助學金新台幣伍仟元整。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>（三）高中(職)組：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>             1.含五專一至三年級學生。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>             2.經評選後，每名發放助學金新台幣捌仟元整。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>（四）大專組：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>             1.含五專四至五年級及二專、二技、四技、大學部學生。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>             2.經評選後，每名發放助學金新台幣壹萬元整。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 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inherit" w:eastAsia="微軟正黑體" w:hAnsi="inherit" w:cs="新細明體"/>
          <w:b/>
          <w:bCs/>
          <w:kern w:val="0"/>
          <w:sz w:val="27"/>
          <w:szCs w:val="27"/>
          <w:bdr w:val="none" w:sz="0" w:space="0" w:color="auto" w:frame="1"/>
        </w:rPr>
        <w:t>長期助學金額：</w:t>
      </w:r>
      <w:r w:rsidRPr="00781C29">
        <w:rPr>
          <w:rFonts w:ascii="inherit" w:eastAsia="微軟正黑體" w:hAnsi="inherit" w:cs="新細明體"/>
          <w:b/>
          <w:bCs/>
          <w:color w:val="333333"/>
          <w:kern w:val="0"/>
          <w:sz w:val="27"/>
          <w:szCs w:val="27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b/>
          <w:bCs/>
          <w:color w:val="008080"/>
          <w:kern w:val="0"/>
          <w:sz w:val="27"/>
          <w:szCs w:val="27"/>
          <w:bdr w:val="none" w:sz="0" w:space="0" w:color="auto" w:frame="1"/>
        </w:rPr>
        <w:t>[</w:t>
      </w:r>
      <w:r w:rsidRPr="00781C29">
        <w:rPr>
          <w:rFonts w:ascii="inherit" w:eastAsia="微軟正黑體" w:hAnsi="inherit" w:cs="新細明體"/>
          <w:b/>
          <w:bCs/>
          <w:color w:val="008080"/>
          <w:kern w:val="0"/>
          <w:sz w:val="27"/>
          <w:szCs w:val="27"/>
          <w:bdr w:val="none" w:sz="0" w:space="0" w:color="auto" w:frame="1"/>
        </w:rPr>
        <w:t>長期助學之學生，首次申請後由本會不定期關懷其情形，最長助學至高中</w:t>
      </w:r>
      <w:r w:rsidRPr="00781C29">
        <w:rPr>
          <w:rFonts w:ascii="inherit" w:eastAsia="微軟正黑體" w:hAnsi="inherit" w:cs="新細明體"/>
          <w:b/>
          <w:bCs/>
          <w:color w:val="008080"/>
          <w:kern w:val="0"/>
          <w:sz w:val="27"/>
          <w:szCs w:val="27"/>
          <w:bdr w:val="none" w:sz="0" w:space="0" w:color="auto" w:frame="1"/>
        </w:rPr>
        <w:t>(</w:t>
      </w:r>
      <w:r w:rsidRPr="00781C29">
        <w:rPr>
          <w:rFonts w:ascii="inherit" w:eastAsia="微軟正黑體" w:hAnsi="inherit" w:cs="新細明體"/>
          <w:b/>
          <w:bCs/>
          <w:color w:val="008080"/>
          <w:kern w:val="0"/>
          <w:sz w:val="27"/>
          <w:szCs w:val="27"/>
          <w:bdr w:val="none" w:sz="0" w:space="0" w:color="auto" w:frame="1"/>
        </w:rPr>
        <w:t>職</w:t>
      </w:r>
      <w:r w:rsidRPr="00781C29">
        <w:rPr>
          <w:rFonts w:ascii="inherit" w:eastAsia="微軟正黑體" w:hAnsi="inherit" w:cs="新細明體"/>
          <w:b/>
          <w:bCs/>
          <w:color w:val="008080"/>
          <w:kern w:val="0"/>
          <w:sz w:val="27"/>
          <w:szCs w:val="27"/>
          <w:bdr w:val="none" w:sz="0" w:space="0" w:color="auto" w:frame="1"/>
        </w:rPr>
        <w:t>)</w:t>
      </w:r>
      <w:r w:rsidRPr="00781C29">
        <w:rPr>
          <w:rFonts w:ascii="inherit" w:eastAsia="微軟正黑體" w:hAnsi="inherit" w:cs="新細明體"/>
          <w:b/>
          <w:bCs/>
          <w:color w:val="008080"/>
          <w:kern w:val="0"/>
          <w:sz w:val="27"/>
          <w:szCs w:val="27"/>
          <w:bdr w:val="none" w:sz="0" w:space="0" w:color="auto" w:frame="1"/>
        </w:rPr>
        <w:t>畢業</w:t>
      </w:r>
      <w:r w:rsidRPr="00781C29">
        <w:rPr>
          <w:rFonts w:ascii="inherit" w:eastAsia="微軟正黑體" w:hAnsi="inherit" w:cs="新細明體"/>
          <w:b/>
          <w:bCs/>
          <w:color w:val="008080"/>
          <w:kern w:val="0"/>
          <w:sz w:val="27"/>
          <w:szCs w:val="27"/>
          <w:bdr w:val="none" w:sz="0" w:space="0" w:color="auto" w:frame="1"/>
        </w:rPr>
        <w:t>]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t>（一）國小組：每名每季發放新台幣貳仟元整，持續助學。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>（二）國中組：每名每季發放新台幣參仟元整，持續助學。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>（三）高中(職)組：每名每季發放新台幣伍仟元整，持續助學。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inherit" w:eastAsia="華康粗明體" w:hAnsi="inherit" w:cs="新細明體"/>
          <w:b/>
          <w:bCs/>
          <w:color w:val="006699"/>
          <w:kern w:val="0"/>
          <w:sz w:val="33"/>
          <w:szCs w:val="33"/>
          <w:bdr w:val="none" w:sz="0" w:space="0" w:color="auto" w:frame="1"/>
        </w:rPr>
        <w:t>肆、申請條件：</w:t>
      </w:r>
      <w:r w:rsidRPr="00781C29">
        <w:rPr>
          <w:rFonts w:ascii="inherit" w:eastAsia="華康粗明體" w:hAnsi="inherit" w:cs="新細明體"/>
          <w:b/>
          <w:bCs/>
          <w:color w:val="006699"/>
          <w:kern w:val="0"/>
          <w:sz w:val="33"/>
          <w:szCs w:val="33"/>
          <w:bdr w:val="none" w:sz="0" w:space="0" w:color="auto" w:frame="1"/>
        </w:rPr>
        <w:t> </w:t>
      </w:r>
      <w:r w:rsidRPr="00781C29">
        <w:rPr>
          <w:rFonts w:ascii="華康粗明體" w:eastAsia="華康粗明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inherit" w:eastAsia="華康粗明體" w:hAnsi="inherit" w:cs="新細明體"/>
          <w:b/>
          <w:bCs/>
          <w:color w:val="333333"/>
          <w:kern w:val="0"/>
          <w:szCs w:val="24"/>
          <w:bdr w:val="none" w:sz="0" w:space="0" w:color="auto" w:frame="1"/>
        </w:rPr>
        <w:t>一、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申請時應檢具下列證明文件，除第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(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四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)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、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(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五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)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款得依實際狀況提供外，若有未齊全者，本會將視為無效件處理。但經本會通知於期限內補齊文件者，則仍視為有效件處理。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 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（一）助學金申請書。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 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（二）在學證明或學生證影本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(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需蓋有申請時該學期註冊章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)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。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（三）近三個月內全戶戶籍謄本（需有記事欄）。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（四）當年度低收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/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中低收入戶證明、特殊境遇家庭證明、身心障礙手冊、重大傷病卡。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（五）近期所發生災難、變故或重症等之證明文書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br/>
        <w:t>       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（如死亡證明書、醫療診斷證明書、服刑或重大災害證明等）。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Pr="00781C29">
        <w:rPr>
          <w:rFonts w:ascii="inherit" w:eastAsia="微軟正黑體" w:hAnsi="inherit" w:cs="新細明體"/>
          <w:b/>
          <w:bCs/>
          <w:color w:val="333333"/>
          <w:kern w:val="0"/>
          <w:szCs w:val="24"/>
          <w:bdr w:val="none" w:sz="0" w:space="0" w:color="auto" w:frame="1"/>
        </w:rPr>
        <w:t>二、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變故事由發生於六個月內者，請由學校轉介申請行天宮學生急難濟助專案辦理。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三、已由學校轉介獲得行天宮學生急難濟助者，如確有助學需要時，亦得申請本助學金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(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需依程序評估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)</w:t>
      </w:r>
      <w:r w:rsidRPr="00781C29">
        <w:rPr>
          <w:rFonts w:ascii="inherit" w:eastAsia="微軟正黑體" w:hAnsi="inherit" w:cs="新細明體"/>
          <w:b/>
          <w:bCs/>
          <w:color w:val="333333"/>
          <w:kern w:val="0"/>
          <w:szCs w:val="24"/>
          <w:bdr w:val="none" w:sz="0" w:space="0" w:color="auto" w:frame="1"/>
        </w:rPr>
        <w:t>。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四、本助學金之申請，一戶以一名為原則，惟符合申請資格子女在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4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名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(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t>含</w:t>
      </w:r>
      <w:r w:rsidRPr="00781C29">
        <w:rPr>
          <w:rFonts w:ascii="inherit" w:eastAsia="微軟正黑體" w:hAnsi="inherit" w:cs="新細明體"/>
          <w:b/>
          <w:bCs/>
          <w:color w:val="333333"/>
          <w:kern w:val="0"/>
          <w:szCs w:val="24"/>
          <w:bdr w:val="none" w:sz="0" w:space="0" w:color="auto" w:frame="1"/>
        </w:rPr>
        <w:t>)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t>以上者，得增加一名(請同信封郵寄)，       但助學名額由本會審核決定。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 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inherit" w:eastAsia="華康粗明體" w:hAnsi="inherit" w:cs="新細明體"/>
          <w:b/>
          <w:bCs/>
          <w:color w:val="006699"/>
          <w:kern w:val="0"/>
          <w:sz w:val="33"/>
          <w:szCs w:val="33"/>
          <w:bdr w:val="none" w:sz="0" w:space="0" w:color="auto" w:frame="1"/>
        </w:rPr>
        <w:t>伍、審核程序：</w:t>
      </w:r>
      <w:r w:rsidRPr="00781C29">
        <w:rPr>
          <w:rFonts w:ascii="華康粗明體" w:eastAsia="華康粗明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本會依本辦法之宗旨以公正、嚴謹方式審核申請案件，審核程序分為：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b/>
          <w:bCs/>
          <w:color w:val="333333"/>
          <w:kern w:val="0"/>
          <w:szCs w:val="24"/>
          <w:bdr w:val="none" w:sz="0" w:space="0" w:color="auto" w:frame="1"/>
        </w:rPr>
        <w:t>一、收件：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t xml:space="preserve">　　檢視申請者應檢附之證明文件，證件未齊全者通知補件；不符資格者、申請書空白未填寫者，不予受理及退件。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b/>
          <w:bCs/>
          <w:color w:val="333333"/>
          <w:kern w:val="0"/>
          <w:szCs w:val="24"/>
          <w:bdr w:val="none" w:sz="0" w:space="0" w:color="auto" w:frame="1"/>
        </w:rPr>
        <w:t>二、初、複審：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 xml:space="preserve">　　秉持公平、公正的原則，由兩組志工分別進行初、複審。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b/>
          <w:bCs/>
          <w:color w:val="333333"/>
          <w:kern w:val="0"/>
          <w:szCs w:val="24"/>
          <w:bdr w:val="none" w:sz="0" w:space="0" w:color="auto" w:frame="1"/>
        </w:rPr>
        <w:t>三、決審：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 xml:space="preserve">　　由本會評選小組進行決審，決定核發名單。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 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inherit" w:eastAsia="華康粗明體" w:hAnsi="inherit" w:cs="新細明體"/>
          <w:b/>
          <w:bCs/>
          <w:color w:val="006699"/>
          <w:kern w:val="0"/>
          <w:sz w:val="33"/>
          <w:szCs w:val="33"/>
          <w:bdr w:val="none" w:sz="0" w:space="0" w:color="auto" w:frame="1"/>
        </w:rPr>
        <w:t>陸、申請時間、頒發時間及頒發方式：</w:t>
      </w:r>
      <w:r w:rsidRPr="00781C29">
        <w:rPr>
          <w:rFonts w:ascii="華康粗明體" w:eastAsia="華康粗明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一、申請截止時間：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(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以郵戳為憑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>)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t xml:space="preserve">　　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t>第一學期為每年九月二十日止(國小、國中及高中組)，九月三十日止(大專組)。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 xml:space="preserve">　　第二學期為每年三月十日止(不分組別)。</w:t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color w:val="333333"/>
          <w:kern w:val="0"/>
          <w:szCs w:val="24"/>
          <w:bdr w:val="none" w:sz="0" w:space="0" w:color="auto" w:frame="1"/>
        </w:rPr>
        <w:br/>
      </w:r>
      <w:r w:rsidRPr="00781C29">
        <w:rPr>
          <w:rFonts w:ascii="inherit" w:eastAsia="微軟正黑體" w:hAnsi="inherit" w:cs="新細明體"/>
          <w:b/>
          <w:bCs/>
          <w:color w:val="333333"/>
          <w:kern w:val="0"/>
          <w:szCs w:val="24"/>
          <w:bdr w:val="none" w:sz="0" w:space="0" w:color="auto" w:frame="1"/>
        </w:rPr>
        <w:t>二、頒發時間及頒發方式：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 xml:space="preserve">　　(一)頒發時間：第一學期為每年十一月底，第二學期為每年五月中旬。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 xml:space="preserve">　　(二)頒發方式：一般助學金以受助學生名義開立劃線及禁止背書轉讓支票，以郵寄方式寄發。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br/>
        <w:t xml:space="preserve">　　　　　　　　　長期助學金以匯款或支票方式支付。</w:t>
      </w: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 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inherit" w:eastAsia="華康粗明體" w:hAnsi="inherit" w:cs="新細明體"/>
          <w:b/>
          <w:bCs/>
          <w:color w:val="006699"/>
          <w:kern w:val="0"/>
          <w:sz w:val="33"/>
          <w:szCs w:val="33"/>
          <w:bdr w:val="none" w:sz="0" w:space="0" w:color="auto" w:frame="1"/>
        </w:rPr>
        <w:t>柒、</w:t>
      </w:r>
      <w:r w:rsidRPr="00781C29">
        <w:rPr>
          <w:rFonts w:ascii="inherit" w:eastAsia="華康粗明體" w:hAnsi="inherit" w:cs="新細明體"/>
          <w:b/>
          <w:bCs/>
          <w:color w:val="006699"/>
          <w:kern w:val="0"/>
          <w:sz w:val="33"/>
          <w:szCs w:val="33"/>
          <w:bdr w:val="none" w:sz="0" w:space="0" w:color="auto" w:frame="1"/>
        </w:rPr>
        <w:t xml:space="preserve"> </w:t>
      </w:r>
      <w:r w:rsidRPr="00781C29">
        <w:rPr>
          <w:rFonts w:ascii="inherit" w:eastAsia="華康粗明體" w:hAnsi="inherit" w:cs="新細明體"/>
          <w:b/>
          <w:bCs/>
          <w:color w:val="006699"/>
          <w:kern w:val="0"/>
          <w:sz w:val="33"/>
          <w:szCs w:val="33"/>
          <w:bdr w:val="none" w:sz="0" w:space="0" w:color="auto" w:frame="1"/>
        </w:rPr>
        <w:t>附則：</w:t>
      </w:r>
    </w:p>
    <w:p w:rsidR="00781C29" w:rsidRPr="00781C29" w:rsidRDefault="00781C29" w:rsidP="00781C29">
      <w:pPr>
        <w:widowControl/>
        <w:textAlignment w:val="baseline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781C29">
        <w:rPr>
          <w:rFonts w:ascii="微軟正黑體" w:eastAsia="微軟正黑體" w:hAnsi="微軟正黑體" w:cs="新細明體" w:hint="eastAsia"/>
          <w:color w:val="333333"/>
          <w:kern w:val="0"/>
          <w:szCs w:val="24"/>
          <w:bdr w:val="none" w:sz="0" w:space="0" w:color="auto" w:frame="1"/>
        </w:rPr>
        <w:t>          本辦法經董事會或董事會簽同意後實施，修改時亦同。</w:t>
      </w:r>
    </w:p>
    <w:p w:rsidR="00781C29" w:rsidRPr="00781C29" w:rsidRDefault="00781C29" w:rsidP="00781C29">
      <w:pPr>
        <w:widowControl/>
        <w:numPr>
          <w:ilvl w:val="0"/>
          <w:numId w:val="1"/>
        </w:numPr>
        <w:ind w:left="-150" w:right="330"/>
        <w:jc w:val="right"/>
        <w:textAlignment w:val="baseline"/>
        <w:rPr>
          <w:rFonts w:ascii="新細明體" w:eastAsia="新細明體" w:hAnsi="新細明體" w:cs="新細明體" w:hint="eastAsia"/>
          <w:color w:val="FFFFFF"/>
          <w:kern w:val="0"/>
          <w:szCs w:val="24"/>
        </w:rPr>
      </w:pPr>
      <w:hyperlink r:id="rId5" w:history="1">
        <w:r w:rsidRPr="00781C29">
          <w:rPr>
            <w:rFonts w:ascii="新細明體" w:eastAsia="新細明體" w:hAnsi="新細明體" w:cs="新細明體"/>
            <w:color w:val="FFFFFF"/>
            <w:kern w:val="0"/>
            <w:szCs w:val="24"/>
            <w:u w:val="single"/>
            <w:bdr w:val="none" w:sz="0" w:space="0" w:color="auto" w:frame="1"/>
          </w:rPr>
          <w:t>交通訊息</w:t>
        </w:r>
      </w:hyperlink>
    </w:p>
    <w:p w:rsidR="00781C29" w:rsidRPr="00781C29" w:rsidRDefault="00781C29" w:rsidP="00781C29">
      <w:pPr>
        <w:widowControl/>
        <w:numPr>
          <w:ilvl w:val="0"/>
          <w:numId w:val="1"/>
        </w:numPr>
        <w:ind w:left="-150" w:right="330"/>
        <w:jc w:val="right"/>
        <w:textAlignment w:val="baseline"/>
        <w:rPr>
          <w:rFonts w:ascii="新細明體" w:eastAsia="新細明體" w:hAnsi="新細明體" w:cs="新細明體"/>
          <w:color w:val="FFFFFF"/>
          <w:kern w:val="0"/>
          <w:szCs w:val="24"/>
        </w:rPr>
      </w:pPr>
      <w:hyperlink r:id="rId6" w:history="1">
        <w:r w:rsidRPr="00781C29">
          <w:rPr>
            <w:rFonts w:ascii="新細明體" w:eastAsia="新細明體" w:hAnsi="新細明體" w:cs="新細明體"/>
            <w:color w:val="FFFFFF"/>
            <w:kern w:val="0"/>
            <w:szCs w:val="24"/>
            <w:u w:val="single"/>
            <w:bdr w:val="none" w:sz="0" w:space="0" w:color="auto" w:frame="1"/>
          </w:rPr>
          <w:t>聯絡我們</w:t>
        </w:r>
      </w:hyperlink>
    </w:p>
    <w:p w:rsidR="00781C29" w:rsidRPr="00781C29" w:rsidRDefault="00781C29" w:rsidP="00781C29">
      <w:pPr>
        <w:widowControl/>
        <w:numPr>
          <w:ilvl w:val="0"/>
          <w:numId w:val="1"/>
        </w:numPr>
        <w:ind w:left="-150" w:right="330"/>
        <w:jc w:val="right"/>
        <w:textAlignment w:val="baseline"/>
        <w:rPr>
          <w:rFonts w:ascii="新細明體" w:eastAsia="新細明體" w:hAnsi="新細明體" w:cs="新細明體"/>
          <w:color w:val="FFFFFF"/>
          <w:kern w:val="0"/>
          <w:szCs w:val="24"/>
        </w:rPr>
      </w:pPr>
      <w:hyperlink r:id="rId7" w:history="1">
        <w:r w:rsidRPr="00781C29">
          <w:rPr>
            <w:rFonts w:ascii="新細明體" w:eastAsia="新細明體" w:hAnsi="新細明體" w:cs="新細明體"/>
            <w:color w:val="FFFFFF"/>
            <w:kern w:val="0"/>
            <w:szCs w:val="24"/>
            <w:u w:val="single"/>
            <w:bdr w:val="none" w:sz="0" w:space="0" w:color="auto" w:frame="1"/>
          </w:rPr>
          <w:t>相關連結</w:t>
        </w:r>
      </w:hyperlink>
    </w:p>
    <w:p w:rsidR="00781C29" w:rsidRPr="00781C29" w:rsidRDefault="00781C29" w:rsidP="00781C29">
      <w:pPr>
        <w:widowControl/>
        <w:numPr>
          <w:ilvl w:val="0"/>
          <w:numId w:val="1"/>
        </w:numPr>
        <w:ind w:left="-150" w:right="330"/>
        <w:jc w:val="right"/>
        <w:textAlignment w:val="baseline"/>
        <w:rPr>
          <w:rFonts w:ascii="新細明體" w:eastAsia="新細明體" w:hAnsi="新細明體" w:cs="新細明體"/>
          <w:color w:val="FFFFFF"/>
          <w:kern w:val="0"/>
          <w:szCs w:val="24"/>
        </w:rPr>
      </w:pPr>
      <w:hyperlink r:id="rId8" w:tgtFrame="_blank" w:history="1">
        <w:r w:rsidRPr="00781C29">
          <w:rPr>
            <w:rFonts w:ascii="新細明體" w:eastAsia="新細明體" w:hAnsi="新細明體" w:cs="新細明體"/>
            <w:color w:val="FFFFFF"/>
            <w:kern w:val="0"/>
            <w:szCs w:val="24"/>
            <w:u w:val="single"/>
            <w:bdr w:val="none" w:sz="0" w:space="0" w:color="auto" w:frame="1"/>
          </w:rPr>
          <w:t>人才招募</w:t>
        </w:r>
      </w:hyperlink>
    </w:p>
    <w:p w:rsidR="00781C29" w:rsidRPr="00781C29" w:rsidRDefault="00781C29" w:rsidP="00781C29">
      <w:pPr>
        <w:widowControl/>
        <w:numPr>
          <w:ilvl w:val="0"/>
          <w:numId w:val="1"/>
        </w:numPr>
        <w:ind w:left="-150" w:right="330"/>
        <w:jc w:val="right"/>
        <w:textAlignment w:val="baseline"/>
        <w:rPr>
          <w:rFonts w:ascii="新細明體" w:eastAsia="新細明體" w:hAnsi="新細明體" w:cs="新細明體"/>
          <w:color w:val="FFFFFF"/>
          <w:kern w:val="0"/>
          <w:szCs w:val="24"/>
        </w:rPr>
      </w:pPr>
      <w:hyperlink r:id="rId9" w:history="1">
        <w:r w:rsidRPr="00781C29">
          <w:rPr>
            <w:rFonts w:ascii="新細明體" w:eastAsia="新細明體" w:hAnsi="新細明體" w:cs="新細明體"/>
            <w:color w:val="FFFFFF"/>
            <w:kern w:val="0"/>
            <w:szCs w:val="24"/>
            <w:u w:val="single"/>
            <w:bdr w:val="none" w:sz="0" w:space="0" w:color="auto" w:frame="1"/>
          </w:rPr>
          <w:t>網站導覽</w:t>
        </w:r>
      </w:hyperlink>
    </w:p>
    <w:p w:rsidR="00781C29" w:rsidRPr="00781C29" w:rsidRDefault="00781C29" w:rsidP="00781C29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781C29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781C29" w:rsidRPr="00781C29" w:rsidRDefault="00781C29" w:rsidP="00781C29">
      <w:pPr>
        <w:widowControl/>
        <w:jc w:val="right"/>
        <w:textAlignment w:val="baseline"/>
        <w:rPr>
          <w:rFonts w:ascii="新細明體" w:eastAsia="新細明體" w:hAnsi="新細明體" w:cs="新細明體"/>
          <w:color w:val="FFFFFF"/>
          <w:kern w:val="0"/>
          <w:szCs w:val="24"/>
        </w:rPr>
      </w:pPr>
      <w:bookmarkStart w:id="1" w:name="newspaper"/>
      <w:bookmarkEnd w:id="1"/>
      <w:r w:rsidRPr="00781C29">
        <w:rPr>
          <w:rFonts w:ascii="inherit" w:eastAsia="新細明體" w:hAnsi="inherit" w:cs="新細明體"/>
          <w:color w:val="E6AC41"/>
          <w:kern w:val="0"/>
          <w:szCs w:val="24"/>
          <w:bdr w:val="none" w:sz="0" w:space="0" w:color="auto" w:frame="1"/>
        </w:rPr>
        <w:t xml:space="preserve">　訂閱電子報</w:t>
      </w:r>
      <w:r w:rsidRPr="00781C29">
        <w:rPr>
          <w:rFonts w:ascii="新細明體" w:eastAsia="新細明體" w:hAnsi="新細明體" w:cs="新細明體"/>
          <w:color w:val="FFFFFF"/>
          <w:kern w:val="0"/>
          <w:szCs w:val="24"/>
        </w:rPr>
        <w:t>   </w:t>
      </w:r>
      <w:r w:rsidRPr="00781C29">
        <w:rPr>
          <w:rFonts w:ascii="新細明體" w:eastAsia="新細明體" w:hAnsi="新細明體" w:cs="新細明體"/>
          <w:color w:val="FFFFFF"/>
          <w:kern w:val="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10" o:title=""/>
          </v:shape>
          <w:control r:id="rId11" w:name="DefaultOcxName" w:shapeid="_x0000_i1030"/>
        </w:object>
      </w:r>
      <w:r w:rsidRPr="00781C29">
        <w:rPr>
          <w:rFonts w:ascii="新細明體" w:eastAsia="新細明體" w:hAnsi="新細明體" w:cs="新細明體"/>
          <w:color w:val="FFFFFF"/>
          <w:kern w:val="0"/>
          <w:szCs w:val="24"/>
        </w:rPr>
        <w:t> </w:t>
      </w:r>
      <w:r w:rsidRPr="00781C29">
        <w:rPr>
          <w:rFonts w:ascii="新細明體" w:eastAsia="新細明體" w:hAnsi="新細明體" w:cs="新細明體"/>
          <w:color w:val="FFFFFF"/>
          <w:kern w:val="0"/>
          <w:szCs w:val="24"/>
        </w:rPr>
        <w:object w:dxaOrig="1440" w:dyaOrig="1440">
          <v:shape id="_x0000_i1029" type="#_x0000_t75" style="width:35.25pt;height:24pt" o:ole="">
            <v:imagedata r:id="rId12" o:title=""/>
          </v:shape>
          <w:control r:id="rId13" w:name="DefaultOcxName1" w:shapeid="_x0000_i1029"/>
        </w:object>
      </w:r>
    </w:p>
    <w:p w:rsidR="00781C29" w:rsidRPr="00781C29" w:rsidRDefault="00781C29" w:rsidP="00781C29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781C29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781C29" w:rsidRPr="00781C29" w:rsidRDefault="00781C29" w:rsidP="00781C29">
      <w:pPr>
        <w:widowControl/>
        <w:textAlignment w:val="baseline"/>
        <w:rPr>
          <w:rFonts w:ascii="inherit" w:eastAsia="新細明體" w:hAnsi="inherit" w:cs="新細明體"/>
          <w:color w:val="E6AC41"/>
          <w:kern w:val="0"/>
          <w:szCs w:val="24"/>
        </w:rPr>
      </w:pPr>
      <w:r w:rsidRPr="00781C29">
        <w:rPr>
          <w:rFonts w:ascii="inherit" w:eastAsia="新細明體" w:hAnsi="inherit" w:cs="新細明體"/>
          <w:color w:val="E6AC41"/>
          <w:kern w:val="0"/>
          <w:szCs w:val="24"/>
        </w:rPr>
        <w:t>相關連結</w:t>
      </w:r>
    </w:p>
    <w:p w:rsidR="00781C29" w:rsidRPr="00781C29" w:rsidRDefault="00781C29" w:rsidP="00781C29">
      <w:pPr>
        <w:widowControl/>
        <w:textAlignment w:val="baseline"/>
        <w:rPr>
          <w:rFonts w:ascii="inherit" w:eastAsia="新細明體" w:hAnsi="inherit" w:cs="新細明體"/>
          <w:color w:val="FFFFFF"/>
          <w:kern w:val="0"/>
          <w:szCs w:val="24"/>
        </w:rPr>
      </w:pPr>
      <w:r w:rsidRPr="00781C29">
        <w:rPr>
          <w:rFonts w:ascii="inherit" w:eastAsia="新細明體" w:hAnsi="inherit" w:cs="新細明體" w:hint="eastAsia"/>
          <w:noProof/>
          <w:color w:val="FFFFFF"/>
          <w:kern w:val="0"/>
          <w:szCs w:val="24"/>
          <w:bdr w:val="none" w:sz="0" w:space="0" w:color="auto" w:frame="1"/>
          <w:shd w:val="clear" w:color="auto" w:fill="5AC200"/>
        </w:rPr>
        <w:drawing>
          <wp:inline distT="0" distB="0" distL="0" distR="0" wp14:anchorId="6C968766" wp14:editId="22A7D844">
            <wp:extent cx="381000" cy="381000"/>
            <wp:effectExtent l="0" t="0" r="0" b="0"/>
            <wp:docPr id="1" name="圖片 1" descr="https://www.ht.org.tw/images/all/LINE1.pn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t.org.tw/images/all/LINE1.pn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29" w:rsidRPr="00781C29" w:rsidRDefault="00781C29" w:rsidP="00781C29">
      <w:pPr>
        <w:widowControl/>
        <w:shd w:val="clear" w:color="auto" w:fill="4F4F4F"/>
        <w:jc w:val="center"/>
        <w:textAlignment w:val="baseline"/>
        <w:rPr>
          <w:rFonts w:ascii="inherit" w:eastAsia="新細明體" w:hAnsi="inherit" w:cs="新細明體"/>
          <w:color w:val="CFCFCF"/>
          <w:kern w:val="0"/>
          <w:sz w:val="21"/>
          <w:szCs w:val="21"/>
        </w:rPr>
      </w:pPr>
      <w:r w:rsidRPr="00781C29">
        <w:rPr>
          <w:rFonts w:ascii="inherit" w:eastAsia="新細明體" w:hAnsi="inherit" w:cs="新細明體"/>
          <w:color w:val="CFCFCF"/>
          <w:kern w:val="0"/>
          <w:sz w:val="21"/>
          <w:szCs w:val="21"/>
        </w:rPr>
        <w:t>行天宮五大志業</w:t>
      </w:r>
      <w:r w:rsidRPr="00781C29">
        <w:rPr>
          <w:rFonts w:ascii="inherit" w:eastAsia="新細明體" w:hAnsi="inherit" w:cs="新細明體"/>
          <w:color w:val="CFCFCF"/>
          <w:kern w:val="0"/>
          <w:sz w:val="21"/>
          <w:szCs w:val="21"/>
        </w:rPr>
        <w:t xml:space="preserve"> 2019 © HTK. All Rights Reserved.</w:t>
      </w:r>
    </w:p>
    <w:p w:rsidR="001E2F8D" w:rsidRDefault="001E2F8D"/>
    <w:sectPr w:rsidR="001E2F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2239"/>
    <w:multiLevelType w:val="multilevel"/>
    <w:tmpl w:val="5562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29"/>
    <w:rsid w:val="001E2F8D"/>
    <w:rsid w:val="0078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7CE02-04AB-4D82-A147-2A181A58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6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8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44444"/>
                <w:right w:val="none" w:sz="0" w:space="0" w:color="auto"/>
              </w:divBdr>
              <w:divsChild>
                <w:div w:id="7971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675604">
              <w:marLeft w:val="240"/>
              <w:marRight w:val="24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063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4.com.tw/jobbank/custjob/index.php?r=cust&amp;j=383a436d4c363e6a34323b1d1d1d1d5f24437323189j56&amp;jobsource=checkc" TargetMode="External"/><Relationship Id="rId13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hyperlink" Target="https://www.ht.org.tw/p10_link.htm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ht.org.tw/p9_contact.htm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https://www.ht.org.tw/p8_traffic.htm" TargetMode="External"/><Relationship Id="rId15" Type="http://schemas.openxmlformats.org/officeDocument/2006/relationships/image" Target="media/image3.png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www.ht.org.tw/p12_site.htm" TargetMode="External"/><Relationship Id="rId14" Type="http://schemas.openxmlformats.org/officeDocument/2006/relationships/hyperlink" Target="https://line.me/R/ti/p/%40xew5329q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2020-09-03T06:51:00Z</dcterms:created>
  <dcterms:modified xsi:type="dcterms:W3CDTF">2020-09-03T06:51:00Z</dcterms:modified>
</cp:coreProperties>
</file>