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r w:rsidRPr="004717C6">
        <w:rPr>
          <w:rFonts w:ascii="標楷體" w:eastAsia="標楷體" w:hAnsi="標楷體"/>
          <w:sz w:val="40"/>
          <w:szCs w:val="40"/>
        </w:rPr>
        <w:t>配合公務人員退休撫卹基金管理委員會組織調整以112年4月30日作為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公務人員退休撫卹基金管理局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bookmarkEnd w:id="0"/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本條例各該規定所列屬「公務人員退休撫卹基金管理委員會」之權責事項，自112年4月30日起改由「公務人員退休撫卹基金管理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公務人員退休資遣撫卹法施行細則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r w:rsidRPr="004717C6">
        <w:rPr>
          <w:rFonts w:ascii="標楷體" w:eastAsia="標楷體" w:hAnsi="標楷體" w:hint="eastAsia"/>
          <w:szCs w:val="24"/>
        </w:rPr>
        <w:t>註：為茲簡明，條項款目欄中，各條、項、款、目等，分以下列方式表達：條→§（條號以阿拉伯數字表達）、項→Ⅰ（羅馬符號）、款→(1)（括弧內置阿拉伯數字）、目→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8031C0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87" w:rsidRDefault="007F0C87" w:rsidP="00384E30">
      <w:r>
        <w:separator/>
      </w:r>
    </w:p>
  </w:endnote>
  <w:endnote w:type="continuationSeparator" w:id="0">
    <w:p w:rsidR="007F0C87" w:rsidRDefault="007F0C87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87" w:rsidRDefault="007F0C87" w:rsidP="00384E30">
      <w:r>
        <w:separator/>
      </w:r>
    </w:p>
  </w:footnote>
  <w:footnote w:type="continuationSeparator" w:id="0">
    <w:p w:rsidR="007F0C87" w:rsidRDefault="007F0C87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7"/>
    <w:rsid w:val="000C563F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31C3"/>
    <w:rsid w:val="005B57F0"/>
    <w:rsid w:val="00624636"/>
    <w:rsid w:val="007211FA"/>
    <w:rsid w:val="007405D6"/>
    <w:rsid w:val="00763C6F"/>
    <w:rsid w:val="007A5320"/>
    <w:rsid w:val="007F0C87"/>
    <w:rsid w:val="008031C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E3B21"/>
    <w:rsid w:val="00CF364D"/>
    <w:rsid w:val="00D020CF"/>
    <w:rsid w:val="00E301C2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USER</cp:lastModifiedBy>
  <cp:revision>2</cp:revision>
  <cp:lastPrinted>2023-04-30T23:37:00Z</cp:lastPrinted>
  <dcterms:created xsi:type="dcterms:W3CDTF">2023-05-05T03:24:00Z</dcterms:created>
  <dcterms:modified xsi:type="dcterms:W3CDTF">2023-05-05T03:24:00Z</dcterms:modified>
</cp:coreProperties>
</file>