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24" w:rsidRDefault="0052191E">
      <w:pPr>
        <w:pStyle w:val="Default"/>
        <w:spacing w:line="460" w:lineRule="exact"/>
        <w:jc w:val="center"/>
        <w:rPr>
          <w:b/>
          <w:bCs/>
          <w:sz w:val="40"/>
          <w:szCs w:val="40"/>
        </w:rPr>
      </w:pPr>
      <w:bookmarkStart w:id="0" w:name="_GoBack"/>
      <w:r>
        <w:rPr>
          <w:b/>
          <w:bCs/>
          <w:sz w:val="40"/>
          <w:szCs w:val="40"/>
        </w:rPr>
        <w:t>性別平等工作申訴審議處理辦法修正條文</w:t>
      </w:r>
    </w:p>
    <w:bookmarkEnd w:id="0"/>
    <w:p w:rsidR="00D56024" w:rsidRDefault="0052191E">
      <w:pPr>
        <w:pStyle w:val="Default"/>
        <w:spacing w:line="460" w:lineRule="exact"/>
        <w:ind w:left="848" w:hanging="848"/>
        <w:jc w:val="center"/>
        <w:rPr>
          <w:b/>
          <w:bCs/>
          <w:sz w:val="28"/>
          <w:szCs w:val="28"/>
        </w:rPr>
      </w:pPr>
      <w:r>
        <w:rPr>
          <w:b/>
          <w:bCs/>
          <w:sz w:val="28"/>
          <w:szCs w:val="28"/>
        </w:rPr>
        <w:t>第一章</w:t>
      </w:r>
      <w:r>
        <w:rPr>
          <w:b/>
          <w:bCs/>
          <w:sz w:val="28"/>
          <w:szCs w:val="28"/>
        </w:rPr>
        <w:t xml:space="preserve">    </w:t>
      </w:r>
      <w:r>
        <w:rPr>
          <w:b/>
          <w:bCs/>
          <w:sz w:val="28"/>
          <w:szCs w:val="28"/>
        </w:rPr>
        <w:t>總則</w:t>
      </w:r>
    </w:p>
    <w:p w:rsidR="00D56024" w:rsidRDefault="0052191E">
      <w:pPr>
        <w:pStyle w:val="Default"/>
        <w:spacing w:line="460" w:lineRule="exact"/>
        <w:ind w:left="848" w:hanging="848"/>
        <w:jc w:val="both"/>
        <w:rPr>
          <w:sz w:val="28"/>
          <w:szCs w:val="28"/>
        </w:rPr>
      </w:pPr>
      <w:r>
        <w:rPr>
          <w:sz w:val="28"/>
          <w:szCs w:val="28"/>
        </w:rPr>
        <w:t>第一條　　本辦法依性別平等工作法（以下簡稱本法）第三十四條第四項規定訂定之。</w:t>
      </w:r>
    </w:p>
    <w:p w:rsidR="00D56024" w:rsidRDefault="0052191E">
      <w:pPr>
        <w:pStyle w:val="Default"/>
        <w:spacing w:line="460" w:lineRule="exact"/>
        <w:ind w:left="848" w:hanging="848"/>
        <w:jc w:val="both"/>
        <w:rPr>
          <w:sz w:val="28"/>
          <w:szCs w:val="28"/>
        </w:rPr>
      </w:pPr>
      <w:r>
        <w:rPr>
          <w:sz w:val="28"/>
          <w:szCs w:val="28"/>
        </w:rPr>
        <w:t>第二條　　受</w:t>
      </w:r>
      <w:proofErr w:type="gramStart"/>
      <w:r>
        <w:rPr>
          <w:sz w:val="28"/>
          <w:szCs w:val="28"/>
        </w:rPr>
        <w:t>僱</w:t>
      </w:r>
      <w:proofErr w:type="gramEnd"/>
      <w:r>
        <w:rPr>
          <w:sz w:val="28"/>
          <w:szCs w:val="28"/>
        </w:rPr>
        <w:t>者或求職者（以下簡稱申訴人）發現雇主違反本法第七條至第十一條、第十三條第二項、第二十一條或第三十六條規定時，得依本辦法向地方主管機關提起申訴。</w:t>
      </w:r>
    </w:p>
    <w:p w:rsidR="00D56024" w:rsidRDefault="0052191E">
      <w:pPr>
        <w:pStyle w:val="Default"/>
        <w:spacing w:line="460" w:lineRule="exact"/>
        <w:ind w:left="848" w:firstLine="568"/>
        <w:jc w:val="both"/>
        <w:rPr>
          <w:sz w:val="28"/>
          <w:szCs w:val="28"/>
        </w:rPr>
      </w:pPr>
      <w:r>
        <w:rPr>
          <w:sz w:val="28"/>
          <w:szCs w:val="28"/>
        </w:rPr>
        <w:t>雇主、受</w:t>
      </w:r>
      <w:proofErr w:type="gramStart"/>
      <w:r>
        <w:rPr>
          <w:sz w:val="28"/>
          <w:szCs w:val="28"/>
        </w:rPr>
        <w:t>僱</w:t>
      </w:r>
      <w:proofErr w:type="gramEnd"/>
      <w:r>
        <w:rPr>
          <w:sz w:val="28"/>
          <w:szCs w:val="28"/>
        </w:rPr>
        <w:t>者或求職者（以下簡稱申請人）對於地方主管機關經審議後所為之處分有異議時，得於十日內依本辦法向中央主管機關性別平等工作會申請審議或逕行提起訴願。</w:t>
      </w:r>
    </w:p>
    <w:p w:rsidR="00D56024" w:rsidRDefault="0052191E">
      <w:pPr>
        <w:pStyle w:val="Default"/>
        <w:spacing w:line="460" w:lineRule="exact"/>
        <w:jc w:val="center"/>
        <w:rPr>
          <w:b/>
          <w:bCs/>
          <w:sz w:val="28"/>
          <w:szCs w:val="28"/>
        </w:rPr>
      </w:pPr>
      <w:r>
        <w:rPr>
          <w:b/>
          <w:bCs/>
          <w:sz w:val="28"/>
          <w:szCs w:val="28"/>
        </w:rPr>
        <w:t>第二章</w:t>
      </w:r>
      <w:r>
        <w:rPr>
          <w:b/>
          <w:bCs/>
          <w:sz w:val="28"/>
          <w:szCs w:val="28"/>
        </w:rPr>
        <w:t xml:space="preserve">    </w:t>
      </w:r>
      <w:r>
        <w:rPr>
          <w:b/>
          <w:bCs/>
          <w:sz w:val="28"/>
          <w:szCs w:val="28"/>
        </w:rPr>
        <w:t>地方主管機關受理申訴程序</w:t>
      </w:r>
    </w:p>
    <w:p w:rsidR="00D56024" w:rsidRDefault="0052191E">
      <w:pPr>
        <w:pStyle w:val="Default"/>
        <w:spacing w:line="460" w:lineRule="exact"/>
        <w:ind w:left="848" w:hanging="848"/>
        <w:jc w:val="both"/>
        <w:rPr>
          <w:sz w:val="28"/>
          <w:szCs w:val="28"/>
        </w:rPr>
      </w:pPr>
      <w:r>
        <w:rPr>
          <w:sz w:val="28"/>
          <w:szCs w:val="28"/>
        </w:rPr>
        <w:t>第三條　　申訴人依前條第一項規定提起申訴時，應由地方主管機關性別平等工作會依本辦法審議。</w:t>
      </w:r>
    </w:p>
    <w:p w:rsidR="00D56024" w:rsidRDefault="0052191E">
      <w:pPr>
        <w:pStyle w:val="Default"/>
        <w:spacing w:line="460" w:lineRule="exact"/>
        <w:ind w:left="848" w:hanging="848"/>
        <w:jc w:val="both"/>
        <w:rPr>
          <w:sz w:val="28"/>
          <w:szCs w:val="28"/>
        </w:rPr>
      </w:pPr>
      <w:r>
        <w:rPr>
          <w:sz w:val="28"/>
          <w:szCs w:val="28"/>
        </w:rPr>
        <w:t>第四條　　地方主管機關性別平等工作會依前條規定所為之審議，應自受理申訴後三</w:t>
      </w:r>
      <w:proofErr w:type="gramStart"/>
      <w:r>
        <w:rPr>
          <w:sz w:val="28"/>
          <w:szCs w:val="28"/>
        </w:rPr>
        <w:t>個</w:t>
      </w:r>
      <w:proofErr w:type="gramEnd"/>
      <w:r>
        <w:rPr>
          <w:sz w:val="28"/>
          <w:szCs w:val="28"/>
        </w:rPr>
        <w:t>月內為審議決定；必要時，得延長一次，延長期間不得逾三個月，並應由地方主管機關通知申訴人。</w:t>
      </w:r>
    </w:p>
    <w:p w:rsidR="00D56024" w:rsidRDefault="0052191E">
      <w:pPr>
        <w:pStyle w:val="Default"/>
        <w:spacing w:line="460" w:lineRule="exact"/>
        <w:ind w:left="848" w:hanging="848"/>
        <w:jc w:val="both"/>
        <w:rPr>
          <w:sz w:val="28"/>
          <w:szCs w:val="28"/>
        </w:rPr>
      </w:pPr>
      <w:r>
        <w:rPr>
          <w:sz w:val="28"/>
          <w:szCs w:val="28"/>
        </w:rPr>
        <w:t>第五條　　申訴人向地方主管機關提起申訴後，得於處分作成前，撤回</w:t>
      </w:r>
      <w:r>
        <w:rPr>
          <w:sz w:val="28"/>
          <w:szCs w:val="28"/>
        </w:rPr>
        <w:t>申訴。撤回後，不得就同一案件再提起申訴。</w:t>
      </w:r>
    </w:p>
    <w:p w:rsidR="00D56024" w:rsidRDefault="0052191E">
      <w:pPr>
        <w:pStyle w:val="Default"/>
        <w:spacing w:line="460" w:lineRule="exact"/>
        <w:ind w:left="848" w:hanging="848"/>
        <w:jc w:val="center"/>
        <w:rPr>
          <w:b/>
          <w:bCs/>
          <w:sz w:val="28"/>
          <w:szCs w:val="28"/>
        </w:rPr>
      </w:pPr>
      <w:r>
        <w:rPr>
          <w:b/>
          <w:bCs/>
          <w:sz w:val="28"/>
          <w:szCs w:val="28"/>
        </w:rPr>
        <w:t>第三章</w:t>
      </w:r>
      <w:r>
        <w:rPr>
          <w:b/>
          <w:bCs/>
          <w:sz w:val="28"/>
          <w:szCs w:val="28"/>
        </w:rPr>
        <w:t xml:space="preserve">    </w:t>
      </w:r>
      <w:r>
        <w:rPr>
          <w:b/>
          <w:bCs/>
          <w:sz w:val="28"/>
          <w:szCs w:val="28"/>
        </w:rPr>
        <w:t>中央主管機關受理審議程序</w:t>
      </w:r>
    </w:p>
    <w:p w:rsidR="00D56024" w:rsidRDefault="0052191E">
      <w:pPr>
        <w:pStyle w:val="Default"/>
        <w:spacing w:line="460" w:lineRule="exact"/>
        <w:ind w:left="848" w:hanging="848"/>
        <w:jc w:val="both"/>
        <w:rPr>
          <w:sz w:val="28"/>
          <w:szCs w:val="28"/>
        </w:rPr>
      </w:pPr>
      <w:r>
        <w:rPr>
          <w:sz w:val="28"/>
          <w:szCs w:val="28"/>
        </w:rPr>
        <w:t>第六條　　申請人依第二條第二項規定以書面向中央主管機關申請審議時，由中央主管機關之性別平等工作會依本辦法審議。</w:t>
      </w:r>
    </w:p>
    <w:p w:rsidR="00D56024" w:rsidRDefault="0052191E">
      <w:pPr>
        <w:pStyle w:val="Default"/>
        <w:spacing w:line="460" w:lineRule="exact"/>
        <w:ind w:left="848" w:hanging="848"/>
        <w:jc w:val="both"/>
        <w:rPr>
          <w:sz w:val="28"/>
          <w:szCs w:val="28"/>
        </w:rPr>
      </w:pPr>
      <w:r>
        <w:rPr>
          <w:sz w:val="28"/>
          <w:szCs w:val="28"/>
        </w:rPr>
        <w:t xml:space="preserve">　　　　　前項書面應載明下列事項，由申請人或代理人簽名或蓋章，並應檢附原行政處分有關文件：</w:t>
      </w:r>
      <w:r>
        <w:rPr>
          <w:sz w:val="28"/>
          <w:szCs w:val="28"/>
        </w:rPr>
        <w:t xml:space="preserve"> </w:t>
      </w:r>
    </w:p>
    <w:p w:rsidR="00D56024" w:rsidRDefault="0052191E">
      <w:pPr>
        <w:pStyle w:val="Default"/>
        <w:spacing w:line="460" w:lineRule="exact"/>
        <w:ind w:left="1979" w:hanging="563"/>
        <w:jc w:val="both"/>
        <w:rPr>
          <w:sz w:val="28"/>
          <w:szCs w:val="28"/>
        </w:rPr>
      </w:pPr>
      <w:r>
        <w:rPr>
          <w:sz w:val="28"/>
          <w:szCs w:val="28"/>
        </w:rPr>
        <w:t>一、申請人之姓名、住所或居所、聯絡電話、身分證明文件字號。如係法人或其他設有管理人或代表人之團體，其名稱、事務所或營業所，管理人或代表人之姓名、住所或居所、聯絡電話、身分證明文件字號。</w:t>
      </w:r>
    </w:p>
    <w:p w:rsidR="00D56024" w:rsidRDefault="0052191E">
      <w:pPr>
        <w:pStyle w:val="Default"/>
        <w:spacing w:line="460" w:lineRule="exact"/>
        <w:ind w:left="1979" w:hanging="563"/>
        <w:jc w:val="both"/>
        <w:rPr>
          <w:sz w:val="28"/>
          <w:szCs w:val="28"/>
        </w:rPr>
      </w:pPr>
      <w:r>
        <w:rPr>
          <w:sz w:val="28"/>
          <w:szCs w:val="28"/>
        </w:rPr>
        <w:t>二、有法定代理人或委任代理人者，其姓名、住所或居所、聯絡電話、身分證明文件字號；委任者，並應檢附委任</w:t>
      </w:r>
      <w:r>
        <w:rPr>
          <w:sz w:val="28"/>
          <w:szCs w:val="28"/>
        </w:rPr>
        <w:lastRenderedPageBreak/>
        <w:t>書。</w:t>
      </w:r>
    </w:p>
    <w:p w:rsidR="00D56024" w:rsidRDefault="0052191E">
      <w:pPr>
        <w:pStyle w:val="Default"/>
        <w:spacing w:line="460" w:lineRule="exact"/>
        <w:ind w:left="1979" w:hanging="563"/>
        <w:jc w:val="both"/>
        <w:rPr>
          <w:sz w:val="28"/>
          <w:szCs w:val="28"/>
        </w:rPr>
      </w:pPr>
      <w:r>
        <w:rPr>
          <w:sz w:val="28"/>
          <w:szCs w:val="28"/>
        </w:rPr>
        <w:t>三、請求事項、事實內容及理由。</w:t>
      </w:r>
    </w:p>
    <w:p w:rsidR="00D56024" w:rsidRDefault="0052191E">
      <w:pPr>
        <w:pStyle w:val="Default"/>
        <w:spacing w:line="460" w:lineRule="exact"/>
        <w:ind w:left="1979" w:hanging="563"/>
        <w:jc w:val="both"/>
        <w:rPr>
          <w:sz w:val="28"/>
          <w:szCs w:val="28"/>
        </w:rPr>
      </w:pPr>
      <w:r>
        <w:rPr>
          <w:sz w:val="28"/>
          <w:szCs w:val="28"/>
        </w:rPr>
        <w:t>四、原行政處分機關。</w:t>
      </w:r>
    </w:p>
    <w:p w:rsidR="00D56024" w:rsidRDefault="0052191E">
      <w:pPr>
        <w:pStyle w:val="Default"/>
        <w:spacing w:line="460" w:lineRule="exact"/>
        <w:ind w:left="1979" w:hanging="563"/>
        <w:jc w:val="both"/>
        <w:rPr>
          <w:sz w:val="28"/>
          <w:szCs w:val="28"/>
        </w:rPr>
      </w:pPr>
      <w:r>
        <w:rPr>
          <w:sz w:val="28"/>
          <w:szCs w:val="28"/>
        </w:rPr>
        <w:t>五、申請之年、月、日。</w:t>
      </w:r>
    </w:p>
    <w:p w:rsidR="00D56024" w:rsidRDefault="0052191E">
      <w:pPr>
        <w:pStyle w:val="Default"/>
        <w:spacing w:line="460" w:lineRule="exact"/>
        <w:ind w:left="1979" w:hanging="563"/>
        <w:jc w:val="both"/>
        <w:rPr>
          <w:sz w:val="28"/>
          <w:szCs w:val="28"/>
        </w:rPr>
      </w:pPr>
      <w:r>
        <w:rPr>
          <w:sz w:val="28"/>
          <w:szCs w:val="28"/>
        </w:rPr>
        <w:t>六、就原行政處分有無提起訴願；其有提起者，應載明向何機關及提起之年、月、日。</w:t>
      </w:r>
    </w:p>
    <w:p w:rsidR="00D56024" w:rsidRDefault="0052191E">
      <w:pPr>
        <w:pStyle w:val="Default"/>
        <w:spacing w:line="460" w:lineRule="exact"/>
        <w:ind w:left="848" w:hanging="848"/>
        <w:jc w:val="both"/>
        <w:rPr>
          <w:sz w:val="28"/>
          <w:szCs w:val="28"/>
        </w:rPr>
      </w:pPr>
      <w:r>
        <w:rPr>
          <w:sz w:val="28"/>
          <w:szCs w:val="28"/>
        </w:rPr>
        <w:t xml:space="preserve">　　　　　申請人就同一案件同時提起訴願者，由中央主管機關通知申請人於十五日內，以書面撤回審議或訴願。</w:t>
      </w:r>
    </w:p>
    <w:p w:rsidR="00D56024" w:rsidRDefault="0052191E">
      <w:pPr>
        <w:pStyle w:val="Default"/>
        <w:spacing w:line="460" w:lineRule="exact"/>
        <w:ind w:left="848" w:hanging="848"/>
        <w:jc w:val="both"/>
        <w:rPr>
          <w:sz w:val="28"/>
          <w:szCs w:val="28"/>
        </w:rPr>
      </w:pPr>
      <w:r>
        <w:rPr>
          <w:sz w:val="28"/>
          <w:szCs w:val="28"/>
        </w:rPr>
        <w:t>第七條　　審議之申請，以中央主管機關性別平等工作會收受申請書之日期為</w:t>
      </w:r>
      <w:proofErr w:type="gramStart"/>
      <w:r>
        <w:rPr>
          <w:sz w:val="28"/>
          <w:szCs w:val="28"/>
        </w:rPr>
        <w:t>準</w:t>
      </w:r>
      <w:proofErr w:type="gramEnd"/>
      <w:r>
        <w:rPr>
          <w:sz w:val="28"/>
          <w:szCs w:val="28"/>
        </w:rPr>
        <w:t>。</w:t>
      </w:r>
    </w:p>
    <w:p w:rsidR="00D56024" w:rsidRDefault="0052191E">
      <w:pPr>
        <w:pStyle w:val="Default"/>
        <w:spacing w:line="460" w:lineRule="exact"/>
        <w:ind w:left="848" w:hanging="848"/>
        <w:jc w:val="both"/>
        <w:rPr>
          <w:sz w:val="28"/>
          <w:szCs w:val="28"/>
        </w:rPr>
      </w:pPr>
      <w:r>
        <w:rPr>
          <w:sz w:val="28"/>
          <w:szCs w:val="28"/>
        </w:rPr>
        <w:t xml:space="preserve">          </w:t>
      </w:r>
      <w:r>
        <w:rPr>
          <w:sz w:val="28"/>
          <w:szCs w:val="28"/>
        </w:rPr>
        <w:t>申請人誤向中央主管機關以外之機關申請審議者，以該機關收</w:t>
      </w:r>
      <w:r>
        <w:rPr>
          <w:sz w:val="28"/>
          <w:szCs w:val="28"/>
        </w:rPr>
        <w:t>受之日，視為申請審議之日。</w:t>
      </w:r>
    </w:p>
    <w:p w:rsidR="00D56024" w:rsidRDefault="0052191E">
      <w:pPr>
        <w:pStyle w:val="Default"/>
        <w:spacing w:line="460" w:lineRule="exact"/>
        <w:ind w:left="848" w:hanging="848"/>
        <w:jc w:val="both"/>
        <w:rPr>
          <w:sz w:val="28"/>
          <w:szCs w:val="28"/>
        </w:rPr>
      </w:pPr>
      <w:r>
        <w:rPr>
          <w:sz w:val="28"/>
          <w:szCs w:val="28"/>
        </w:rPr>
        <w:t>第八條　　中央主管機關性別平等工作會應將審議申請書之影本或副本送原行政處分機關，該機關應於文到二十日內答辯，並將關係文件移送中央主管機關。</w:t>
      </w:r>
    </w:p>
    <w:p w:rsidR="00D56024" w:rsidRDefault="0052191E">
      <w:pPr>
        <w:pStyle w:val="Default"/>
        <w:spacing w:line="460" w:lineRule="exact"/>
        <w:ind w:left="1979" w:hanging="563"/>
        <w:jc w:val="both"/>
        <w:rPr>
          <w:sz w:val="28"/>
          <w:szCs w:val="28"/>
        </w:rPr>
      </w:pPr>
      <w:r>
        <w:rPr>
          <w:sz w:val="28"/>
          <w:szCs w:val="28"/>
        </w:rPr>
        <w:t>中央主管機關性別平等工作會應自收到審議申請書三個月內</w:t>
      </w:r>
    </w:p>
    <w:p w:rsidR="00D56024" w:rsidRDefault="0052191E">
      <w:pPr>
        <w:pStyle w:val="Default"/>
        <w:spacing w:line="460" w:lineRule="exact"/>
        <w:ind w:left="894" w:hanging="42"/>
        <w:jc w:val="both"/>
        <w:rPr>
          <w:sz w:val="28"/>
          <w:szCs w:val="28"/>
        </w:rPr>
      </w:pPr>
      <w:r>
        <w:rPr>
          <w:sz w:val="28"/>
          <w:szCs w:val="28"/>
        </w:rPr>
        <w:t>為審議決定；必要時，得延長一次，延長期間不得逾三個月，並應通知申請人。</w:t>
      </w:r>
    </w:p>
    <w:p w:rsidR="00D56024" w:rsidRDefault="0052191E">
      <w:pPr>
        <w:pStyle w:val="Default"/>
        <w:overflowPunct w:val="0"/>
        <w:spacing w:line="460" w:lineRule="exact"/>
        <w:ind w:left="851" w:hanging="851"/>
        <w:jc w:val="both"/>
        <w:rPr>
          <w:sz w:val="28"/>
          <w:szCs w:val="28"/>
        </w:rPr>
      </w:pPr>
      <w:r>
        <w:rPr>
          <w:sz w:val="28"/>
          <w:szCs w:val="28"/>
        </w:rPr>
        <w:t>第九條　　申請人向中央主管機關性別平等工作會申請審議後，得於審定作成前，撤回審議申請。撤回後，不得就同一案件再申請審議。</w:t>
      </w:r>
    </w:p>
    <w:p w:rsidR="00D56024" w:rsidRDefault="0052191E">
      <w:pPr>
        <w:pStyle w:val="Default"/>
        <w:overflowPunct w:val="0"/>
        <w:spacing w:line="460" w:lineRule="exact"/>
        <w:ind w:left="851" w:hanging="851"/>
        <w:jc w:val="center"/>
        <w:rPr>
          <w:b/>
          <w:bCs/>
          <w:sz w:val="28"/>
          <w:szCs w:val="28"/>
        </w:rPr>
      </w:pPr>
      <w:r>
        <w:rPr>
          <w:b/>
          <w:bCs/>
          <w:sz w:val="28"/>
          <w:szCs w:val="28"/>
        </w:rPr>
        <w:t>第四章</w:t>
      </w:r>
      <w:r>
        <w:rPr>
          <w:b/>
          <w:bCs/>
          <w:sz w:val="28"/>
          <w:szCs w:val="28"/>
        </w:rPr>
        <w:t xml:space="preserve">    </w:t>
      </w:r>
      <w:r>
        <w:rPr>
          <w:b/>
          <w:bCs/>
          <w:sz w:val="28"/>
          <w:szCs w:val="28"/>
        </w:rPr>
        <w:t>審議決定</w:t>
      </w:r>
    </w:p>
    <w:p w:rsidR="00D56024" w:rsidRDefault="0052191E">
      <w:pPr>
        <w:pStyle w:val="Default"/>
        <w:spacing w:line="460" w:lineRule="exact"/>
        <w:ind w:left="848" w:hanging="848"/>
        <w:jc w:val="both"/>
        <w:rPr>
          <w:sz w:val="28"/>
          <w:szCs w:val="28"/>
        </w:rPr>
      </w:pPr>
      <w:r>
        <w:rPr>
          <w:sz w:val="28"/>
          <w:szCs w:val="28"/>
        </w:rPr>
        <w:t>第十條　　申訴或審議案件之程式不符規定，而其情形可補正者，主管機關應通知</w:t>
      </w:r>
      <w:r>
        <w:rPr>
          <w:sz w:val="28"/>
          <w:szCs w:val="28"/>
        </w:rPr>
        <w:t>申訴人、申請人於文到十五日內補正。</w:t>
      </w:r>
    </w:p>
    <w:p w:rsidR="00D56024" w:rsidRDefault="0052191E">
      <w:pPr>
        <w:pStyle w:val="Default"/>
        <w:spacing w:line="460" w:lineRule="exact"/>
        <w:ind w:left="849" w:hanging="283"/>
        <w:jc w:val="both"/>
        <w:rPr>
          <w:sz w:val="28"/>
          <w:szCs w:val="28"/>
        </w:rPr>
      </w:pPr>
      <w:r>
        <w:rPr>
          <w:sz w:val="28"/>
          <w:szCs w:val="28"/>
        </w:rPr>
        <w:t xml:space="preserve">　　　申訴或審議之提起有下列情形之</w:t>
      </w:r>
      <w:proofErr w:type="gramStart"/>
      <w:r>
        <w:rPr>
          <w:sz w:val="28"/>
          <w:szCs w:val="28"/>
        </w:rPr>
        <w:t>一</w:t>
      </w:r>
      <w:proofErr w:type="gramEnd"/>
      <w:r>
        <w:rPr>
          <w:sz w:val="28"/>
          <w:szCs w:val="28"/>
        </w:rPr>
        <w:t>者，應為不受理之決定：</w:t>
      </w:r>
    </w:p>
    <w:p w:rsidR="00D56024" w:rsidRDefault="0052191E">
      <w:pPr>
        <w:pStyle w:val="Default"/>
        <w:spacing w:line="460" w:lineRule="exact"/>
        <w:ind w:left="1421"/>
        <w:jc w:val="both"/>
        <w:rPr>
          <w:sz w:val="28"/>
          <w:szCs w:val="28"/>
        </w:rPr>
      </w:pPr>
      <w:r>
        <w:rPr>
          <w:sz w:val="28"/>
          <w:szCs w:val="28"/>
        </w:rPr>
        <w:t>一、程式不符規定且不能補正或經通知補正逾期未補正。</w:t>
      </w:r>
    </w:p>
    <w:p w:rsidR="00D56024" w:rsidRDefault="0052191E">
      <w:pPr>
        <w:pStyle w:val="Default"/>
        <w:spacing w:line="460" w:lineRule="exact"/>
        <w:jc w:val="both"/>
        <w:rPr>
          <w:sz w:val="28"/>
          <w:szCs w:val="28"/>
        </w:rPr>
      </w:pPr>
      <w:r>
        <w:rPr>
          <w:sz w:val="28"/>
          <w:szCs w:val="28"/>
        </w:rPr>
        <w:t xml:space="preserve">          </w:t>
      </w:r>
      <w:r>
        <w:rPr>
          <w:sz w:val="28"/>
          <w:szCs w:val="28"/>
        </w:rPr>
        <w:t>二、申請審議逾法定期間。</w:t>
      </w:r>
    </w:p>
    <w:p w:rsidR="00D56024" w:rsidRDefault="0052191E">
      <w:pPr>
        <w:pStyle w:val="Default"/>
        <w:spacing w:line="460" w:lineRule="exact"/>
        <w:jc w:val="both"/>
        <w:rPr>
          <w:sz w:val="28"/>
          <w:szCs w:val="28"/>
        </w:rPr>
      </w:pPr>
      <w:r>
        <w:rPr>
          <w:sz w:val="28"/>
          <w:szCs w:val="28"/>
        </w:rPr>
        <w:t xml:space="preserve">          </w:t>
      </w:r>
      <w:r>
        <w:rPr>
          <w:sz w:val="28"/>
          <w:szCs w:val="28"/>
        </w:rPr>
        <w:t>三、未依第六條第三項規定撤回。</w:t>
      </w:r>
    </w:p>
    <w:p w:rsidR="00D56024" w:rsidRDefault="0052191E">
      <w:pPr>
        <w:pStyle w:val="Default"/>
        <w:spacing w:line="460" w:lineRule="exact"/>
        <w:jc w:val="both"/>
        <w:rPr>
          <w:sz w:val="28"/>
          <w:szCs w:val="28"/>
        </w:rPr>
      </w:pPr>
      <w:r>
        <w:rPr>
          <w:sz w:val="28"/>
          <w:szCs w:val="28"/>
        </w:rPr>
        <w:t xml:space="preserve">          </w:t>
      </w:r>
      <w:r>
        <w:rPr>
          <w:sz w:val="28"/>
          <w:szCs w:val="28"/>
        </w:rPr>
        <w:t>四、行政處分已不存在。</w:t>
      </w:r>
    </w:p>
    <w:p w:rsidR="00D56024" w:rsidRDefault="0052191E">
      <w:pPr>
        <w:pStyle w:val="Default"/>
        <w:spacing w:line="460" w:lineRule="exact"/>
        <w:jc w:val="both"/>
        <w:rPr>
          <w:sz w:val="28"/>
          <w:szCs w:val="28"/>
        </w:rPr>
      </w:pPr>
      <w:r>
        <w:rPr>
          <w:sz w:val="28"/>
          <w:szCs w:val="28"/>
        </w:rPr>
        <w:lastRenderedPageBreak/>
        <w:t xml:space="preserve">           </w:t>
      </w:r>
      <w:r>
        <w:rPr>
          <w:sz w:val="28"/>
          <w:szCs w:val="28"/>
        </w:rPr>
        <w:t>五、對已撤回之同一申訴或審議案件重行提起。</w:t>
      </w:r>
    </w:p>
    <w:p w:rsidR="00D56024" w:rsidRDefault="0052191E">
      <w:pPr>
        <w:pStyle w:val="Default"/>
        <w:spacing w:line="460" w:lineRule="exact"/>
        <w:ind w:left="992" w:hanging="1134"/>
        <w:jc w:val="both"/>
        <w:rPr>
          <w:sz w:val="28"/>
          <w:szCs w:val="28"/>
        </w:rPr>
      </w:pPr>
      <w:r>
        <w:rPr>
          <w:sz w:val="28"/>
          <w:szCs w:val="28"/>
        </w:rPr>
        <w:t>第十一條　　主管機關性別平等工作會之審議，就書面審查決定之；必要時，得通知申訴人、申請人及其他相關機關、人員到場說明。</w:t>
      </w:r>
    </w:p>
    <w:p w:rsidR="00D56024" w:rsidRDefault="0052191E">
      <w:pPr>
        <w:pStyle w:val="Default"/>
        <w:spacing w:line="460" w:lineRule="exact"/>
        <w:ind w:left="992" w:hanging="1134"/>
        <w:jc w:val="both"/>
        <w:rPr>
          <w:sz w:val="28"/>
          <w:szCs w:val="28"/>
        </w:rPr>
      </w:pPr>
      <w:r>
        <w:rPr>
          <w:sz w:val="28"/>
          <w:szCs w:val="28"/>
        </w:rPr>
        <w:t>第十二條　　主管機關性別平等工作會為審議案件，必要時，得指派委員二人以上組成專案小組進行調查。</w:t>
      </w:r>
    </w:p>
    <w:p w:rsidR="00D56024" w:rsidRDefault="0052191E">
      <w:pPr>
        <w:pStyle w:val="Default"/>
        <w:spacing w:line="460" w:lineRule="exact"/>
        <w:ind w:left="992" w:hanging="1134"/>
        <w:jc w:val="both"/>
        <w:rPr>
          <w:sz w:val="28"/>
          <w:szCs w:val="28"/>
        </w:rPr>
      </w:pPr>
      <w:r>
        <w:rPr>
          <w:sz w:val="28"/>
          <w:szCs w:val="28"/>
        </w:rPr>
        <w:t xml:space="preserve">            </w:t>
      </w:r>
      <w:r>
        <w:rPr>
          <w:sz w:val="28"/>
          <w:szCs w:val="28"/>
        </w:rPr>
        <w:t>專案小組調查過程應保護申訴人、申請人、相對人及關係第三人之隱私權，調查結束後，由專案小組作成調查報告，提主管機關性別平等工作會審議。</w:t>
      </w:r>
    </w:p>
    <w:p w:rsidR="00D56024" w:rsidRDefault="0052191E">
      <w:pPr>
        <w:pStyle w:val="Default"/>
        <w:spacing w:line="460" w:lineRule="exact"/>
        <w:ind w:left="992" w:hanging="1134"/>
        <w:jc w:val="both"/>
        <w:rPr>
          <w:sz w:val="28"/>
          <w:szCs w:val="28"/>
        </w:rPr>
      </w:pPr>
      <w:r>
        <w:rPr>
          <w:sz w:val="28"/>
          <w:szCs w:val="28"/>
        </w:rPr>
        <w:t>第十三條　　中央主管機關性別平等工作會認為申請審議</w:t>
      </w:r>
      <w:proofErr w:type="gramStart"/>
      <w:r>
        <w:rPr>
          <w:sz w:val="28"/>
          <w:szCs w:val="28"/>
        </w:rPr>
        <w:t>無理由者</w:t>
      </w:r>
      <w:proofErr w:type="gramEnd"/>
      <w:r>
        <w:rPr>
          <w:sz w:val="28"/>
          <w:szCs w:val="28"/>
        </w:rPr>
        <w:t>，應以決定駁回之。</w:t>
      </w:r>
    </w:p>
    <w:p w:rsidR="00D56024" w:rsidRDefault="0052191E">
      <w:pPr>
        <w:pStyle w:val="Default"/>
        <w:spacing w:line="460" w:lineRule="exact"/>
        <w:ind w:left="1021" w:hanging="284"/>
        <w:jc w:val="both"/>
        <w:rPr>
          <w:sz w:val="28"/>
          <w:szCs w:val="28"/>
        </w:rPr>
      </w:pPr>
      <w:r>
        <w:rPr>
          <w:sz w:val="28"/>
          <w:szCs w:val="28"/>
        </w:rPr>
        <w:t xml:space="preserve">　　　原行政處分所憑理由雖屬不當，但依其他理由認為正當者，應以申請審議為無理由。</w:t>
      </w:r>
    </w:p>
    <w:p w:rsidR="00D56024" w:rsidRDefault="0052191E">
      <w:pPr>
        <w:pStyle w:val="Default"/>
        <w:spacing w:line="460" w:lineRule="exact"/>
        <w:ind w:left="960" w:firstLine="560"/>
        <w:jc w:val="both"/>
        <w:rPr>
          <w:sz w:val="28"/>
          <w:szCs w:val="28"/>
        </w:rPr>
      </w:pPr>
      <w:r>
        <w:rPr>
          <w:sz w:val="28"/>
          <w:szCs w:val="28"/>
        </w:rPr>
        <w:t>申請審議有理由者，中央主管機關性別平等工作會應決定撤銷原行政處分之全部或一部，並得視事件之情節，</w:t>
      </w:r>
      <w:proofErr w:type="gramStart"/>
      <w:r>
        <w:rPr>
          <w:sz w:val="28"/>
          <w:szCs w:val="28"/>
        </w:rPr>
        <w:t>逕</w:t>
      </w:r>
      <w:proofErr w:type="gramEnd"/>
      <w:r>
        <w:rPr>
          <w:sz w:val="28"/>
          <w:szCs w:val="28"/>
        </w:rPr>
        <w:t>為變更之決定或發回原行政處分機關另為處分。但於申請人表示不服之範圍內，不得為更</w:t>
      </w:r>
      <w:proofErr w:type="gramStart"/>
      <w:r>
        <w:rPr>
          <w:sz w:val="28"/>
          <w:szCs w:val="28"/>
        </w:rPr>
        <w:t>不</w:t>
      </w:r>
      <w:proofErr w:type="gramEnd"/>
      <w:r>
        <w:rPr>
          <w:sz w:val="28"/>
          <w:szCs w:val="28"/>
        </w:rPr>
        <w:t>利益之變更或處分。</w:t>
      </w:r>
    </w:p>
    <w:p w:rsidR="00D56024" w:rsidRDefault="0052191E">
      <w:pPr>
        <w:pStyle w:val="Default"/>
        <w:spacing w:line="460" w:lineRule="exact"/>
        <w:ind w:left="960" w:firstLine="560"/>
        <w:jc w:val="both"/>
        <w:rPr>
          <w:sz w:val="28"/>
          <w:szCs w:val="28"/>
        </w:rPr>
      </w:pPr>
      <w:r>
        <w:rPr>
          <w:sz w:val="28"/>
          <w:szCs w:val="28"/>
        </w:rPr>
        <w:t>前項審議決定撤銷原行政處分，發回原行政處分機關另為處分時，應指定相當</w:t>
      </w:r>
      <w:proofErr w:type="gramStart"/>
      <w:r>
        <w:rPr>
          <w:sz w:val="28"/>
          <w:szCs w:val="28"/>
        </w:rPr>
        <w:t>期間命</w:t>
      </w:r>
      <w:proofErr w:type="gramEnd"/>
      <w:r>
        <w:rPr>
          <w:sz w:val="28"/>
          <w:szCs w:val="28"/>
        </w:rPr>
        <w:t>其為之。</w:t>
      </w:r>
    </w:p>
    <w:p w:rsidR="00D56024" w:rsidRDefault="0052191E">
      <w:pPr>
        <w:pStyle w:val="Default"/>
        <w:spacing w:line="460" w:lineRule="exact"/>
        <w:ind w:left="992" w:hanging="1134"/>
        <w:jc w:val="both"/>
        <w:rPr>
          <w:sz w:val="28"/>
          <w:szCs w:val="28"/>
        </w:rPr>
      </w:pPr>
      <w:r>
        <w:rPr>
          <w:sz w:val="28"/>
          <w:szCs w:val="28"/>
        </w:rPr>
        <w:t xml:space="preserve">第十四條　</w:t>
      </w:r>
      <w:r>
        <w:rPr>
          <w:sz w:val="28"/>
          <w:szCs w:val="28"/>
        </w:rPr>
        <w:t xml:space="preserve"> </w:t>
      </w:r>
      <w:r>
        <w:rPr>
          <w:sz w:val="28"/>
          <w:szCs w:val="28"/>
        </w:rPr>
        <w:t>審議決定以其他法律關係是否成立</w:t>
      </w:r>
      <w:proofErr w:type="gramStart"/>
      <w:r>
        <w:rPr>
          <w:sz w:val="28"/>
          <w:szCs w:val="28"/>
        </w:rPr>
        <w:t>為據者</w:t>
      </w:r>
      <w:proofErr w:type="gramEnd"/>
      <w:r>
        <w:rPr>
          <w:sz w:val="28"/>
          <w:szCs w:val="28"/>
        </w:rPr>
        <w:t>，於該法律關係未確定前，主管機關性別平等工作會得依職權或申請，暫停審議程序之進行，並通知申訴人或申請人。</w:t>
      </w:r>
    </w:p>
    <w:p w:rsidR="00D56024" w:rsidRDefault="0052191E">
      <w:pPr>
        <w:pStyle w:val="Default"/>
        <w:spacing w:line="460" w:lineRule="exact"/>
        <w:ind w:left="992" w:hanging="1134"/>
        <w:jc w:val="both"/>
        <w:rPr>
          <w:sz w:val="28"/>
          <w:szCs w:val="28"/>
        </w:rPr>
      </w:pPr>
      <w:r>
        <w:rPr>
          <w:sz w:val="28"/>
          <w:szCs w:val="28"/>
        </w:rPr>
        <w:t>第十五條</w:t>
      </w:r>
      <w:r>
        <w:rPr>
          <w:sz w:val="28"/>
          <w:szCs w:val="28"/>
        </w:rPr>
        <w:t xml:space="preserve">    </w:t>
      </w:r>
      <w:r>
        <w:rPr>
          <w:sz w:val="28"/>
          <w:szCs w:val="28"/>
        </w:rPr>
        <w:t>申訴及審議案件之進行，以不公開為原則。</w:t>
      </w:r>
    </w:p>
    <w:p w:rsidR="00D56024" w:rsidRDefault="0052191E">
      <w:pPr>
        <w:pStyle w:val="Default"/>
        <w:spacing w:line="460" w:lineRule="exact"/>
        <w:ind w:left="992" w:hanging="1134"/>
        <w:jc w:val="both"/>
        <w:rPr>
          <w:sz w:val="28"/>
          <w:szCs w:val="28"/>
        </w:rPr>
      </w:pPr>
      <w:r>
        <w:rPr>
          <w:sz w:val="28"/>
          <w:szCs w:val="28"/>
        </w:rPr>
        <w:t>第十六條</w:t>
      </w:r>
      <w:r>
        <w:rPr>
          <w:sz w:val="28"/>
          <w:szCs w:val="28"/>
        </w:rPr>
        <w:t xml:space="preserve">   </w:t>
      </w:r>
      <w:r>
        <w:rPr>
          <w:sz w:val="28"/>
          <w:szCs w:val="28"/>
        </w:rPr>
        <w:t>主管機</w:t>
      </w:r>
      <w:r>
        <w:rPr>
          <w:sz w:val="28"/>
          <w:szCs w:val="28"/>
        </w:rPr>
        <w:t>關於性別平等工作會審議後，應將該審議決定以書面通知申訴人、申請人、相對人。</w:t>
      </w:r>
    </w:p>
    <w:p w:rsidR="00D56024" w:rsidRDefault="0052191E">
      <w:pPr>
        <w:pStyle w:val="Default"/>
        <w:spacing w:line="460" w:lineRule="exact"/>
        <w:ind w:left="1218" w:hanging="1360"/>
        <w:jc w:val="center"/>
        <w:rPr>
          <w:b/>
          <w:bCs/>
          <w:sz w:val="28"/>
          <w:szCs w:val="28"/>
        </w:rPr>
      </w:pPr>
      <w:r>
        <w:rPr>
          <w:b/>
          <w:bCs/>
          <w:sz w:val="28"/>
          <w:szCs w:val="28"/>
        </w:rPr>
        <w:t>第五章</w:t>
      </w:r>
      <w:r>
        <w:rPr>
          <w:b/>
          <w:bCs/>
          <w:sz w:val="28"/>
          <w:szCs w:val="28"/>
        </w:rPr>
        <w:t xml:space="preserve">    </w:t>
      </w:r>
      <w:r>
        <w:rPr>
          <w:b/>
          <w:bCs/>
          <w:sz w:val="28"/>
          <w:szCs w:val="28"/>
        </w:rPr>
        <w:t>附則</w:t>
      </w:r>
    </w:p>
    <w:p w:rsidR="00D56024" w:rsidRDefault="0052191E">
      <w:pPr>
        <w:pStyle w:val="Default"/>
        <w:spacing w:line="460" w:lineRule="exact"/>
        <w:ind w:left="992" w:hanging="1134"/>
        <w:jc w:val="both"/>
        <w:rPr>
          <w:sz w:val="28"/>
          <w:szCs w:val="28"/>
        </w:rPr>
      </w:pPr>
      <w:r>
        <w:rPr>
          <w:sz w:val="28"/>
          <w:szCs w:val="28"/>
        </w:rPr>
        <w:t>第十七條　　本辦法所定之書表格式，由主管機關定之。</w:t>
      </w:r>
    </w:p>
    <w:p w:rsidR="00D56024" w:rsidRDefault="0052191E">
      <w:pPr>
        <w:pStyle w:val="Default"/>
        <w:spacing w:line="460" w:lineRule="exact"/>
        <w:ind w:left="992" w:hanging="1134"/>
        <w:jc w:val="both"/>
        <w:rPr>
          <w:sz w:val="28"/>
          <w:szCs w:val="28"/>
        </w:rPr>
      </w:pPr>
      <w:r>
        <w:rPr>
          <w:sz w:val="28"/>
          <w:szCs w:val="28"/>
        </w:rPr>
        <w:t>第十八條　　本辦法自中華民國一百十三年三月八日施行。</w:t>
      </w:r>
    </w:p>
    <w:p w:rsidR="00D56024" w:rsidRDefault="00D56024">
      <w:pPr>
        <w:pStyle w:val="Standarduser"/>
        <w:spacing w:line="460" w:lineRule="exact"/>
      </w:pPr>
    </w:p>
    <w:sectPr w:rsidR="00D56024">
      <w:footerReference w:type="default" r:id="rId7"/>
      <w:pgSz w:w="11906" w:h="16838"/>
      <w:pgMar w:top="1418" w:right="1418" w:bottom="1418" w:left="1701" w:header="720" w:footer="14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1E" w:rsidRDefault="0052191E">
      <w:r>
        <w:separator/>
      </w:r>
    </w:p>
  </w:endnote>
  <w:endnote w:type="continuationSeparator" w:id="0">
    <w:p w:rsidR="0052191E" w:rsidRDefault="0052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0A" w:rsidRDefault="0052191E">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1E" w:rsidRDefault="0052191E">
      <w:r>
        <w:rPr>
          <w:color w:val="000000"/>
        </w:rPr>
        <w:separator/>
      </w:r>
    </w:p>
  </w:footnote>
  <w:footnote w:type="continuationSeparator" w:id="0">
    <w:p w:rsidR="0052191E" w:rsidRDefault="005219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0B5"/>
    <w:multiLevelType w:val="multilevel"/>
    <w:tmpl w:val="DB7CAF3C"/>
    <w:styleLink w:val="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 w15:restartNumberingAfterBreak="0">
    <w:nsid w:val="06701F81"/>
    <w:multiLevelType w:val="multilevel"/>
    <w:tmpl w:val="82C4335E"/>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2" w15:restartNumberingAfterBreak="0">
    <w:nsid w:val="0B475611"/>
    <w:multiLevelType w:val="multilevel"/>
    <w:tmpl w:val="05E45894"/>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85215B7"/>
    <w:multiLevelType w:val="multilevel"/>
    <w:tmpl w:val="78FA8744"/>
    <w:styleLink w:val="WWNum12"/>
    <w:lvl w:ilvl="0">
      <w:start w:val="1"/>
      <w:numFmt w:val="japaneseCounting"/>
      <w:lvlText w:val="%1、"/>
      <w:lvlJc w:val="left"/>
      <w:pPr>
        <w:ind w:left="504" w:hanging="504"/>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2AD6029F"/>
    <w:multiLevelType w:val="multilevel"/>
    <w:tmpl w:val="98F8F3E8"/>
    <w:styleLink w:val="WWNum8"/>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5" w15:restartNumberingAfterBreak="0">
    <w:nsid w:val="2F020C5C"/>
    <w:multiLevelType w:val="multilevel"/>
    <w:tmpl w:val="C25E047C"/>
    <w:styleLink w:val="WWNum11"/>
    <w:lvl w:ilvl="0">
      <w:start w:val="1"/>
      <w:numFmt w:val="japaneseCounting"/>
      <w:lvlText w:val="%1、"/>
      <w:lvlJc w:val="left"/>
      <w:pPr>
        <w:ind w:left="480" w:hanging="480"/>
      </w:pPr>
      <w:rPr>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42C67250"/>
    <w:multiLevelType w:val="multilevel"/>
    <w:tmpl w:val="88104176"/>
    <w:styleLink w:val="WWNum5"/>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7" w15:restartNumberingAfterBreak="0">
    <w:nsid w:val="45C13B59"/>
    <w:multiLevelType w:val="multilevel"/>
    <w:tmpl w:val="0D8271BE"/>
    <w:styleLink w:val="WWNum2"/>
    <w:lvl w:ilvl="0">
      <w:start w:val="1"/>
      <w:numFmt w:val="japaneseCounting"/>
      <w:suff w:val="nothing"/>
      <w:lvlText w:val="%1、"/>
      <w:lvlJc w:val="left"/>
      <w:pPr>
        <w:ind w:left="482" w:hanging="482"/>
      </w:pPr>
      <w:rPr>
        <w:rFonts w:eastAsia="標楷體"/>
      </w:rPr>
    </w:lvl>
    <w:lvl w:ilvl="1">
      <w:start w:val="1"/>
      <w:numFmt w:val="japaneseCounting"/>
      <w:suff w:val="nothing"/>
      <w:lvlText w:val="(%1.%2)"/>
      <w:lvlJc w:val="left"/>
      <w:pPr>
        <w:ind w:left="879" w:hanging="397"/>
      </w:pPr>
    </w:lvl>
    <w:lvl w:ilvl="2">
      <w:start w:val="1"/>
      <w:numFmt w:val="decimal"/>
      <w:suff w:val="nothing"/>
      <w:lvlText w:val="%1.%2.%3."/>
      <w:lvlJc w:val="right"/>
      <w:pPr>
        <w:ind w:left="1060" w:hanging="181"/>
      </w:pPr>
    </w:lvl>
    <w:lvl w:ilvl="3">
      <w:start w:val="1"/>
      <w:numFmt w:val="decimal"/>
      <w:suff w:val="nothing"/>
      <w:lvlText w:val="(%1.%2.%3.%4)"/>
      <w:lvlJc w:val="left"/>
      <w:pPr>
        <w:ind w:left="1338" w:hanging="278"/>
      </w:pPr>
    </w:lvl>
    <w:lvl w:ilvl="4">
      <w:start w:val="1"/>
      <w:numFmt w:val="upperLetter"/>
      <w:suff w:val="nothing"/>
      <w:lvlText w:val="%1.%2.%3.%4.%5."/>
      <w:lvlJc w:val="left"/>
      <w:pPr>
        <w:ind w:left="1571" w:hanging="232"/>
      </w:pPr>
    </w:lvl>
    <w:lvl w:ilvl="5">
      <w:start w:val="1"/>
      <w:numFmt w:val="upperLetter"/>
      <w:suff w:val="nothing"/>
      <w:lvlText w:val="(%1.%2.%3.%4.%5.%6)"/>
      <w:lvlJc w:val="right"/>
      <w:pPr>
        <w:ind w:left="1905" w:hanging="335"/>
      </w:pPr>
    </w:lvl>
    <w:lvl w:ilvl="6">
      <w:start w:val="1"/>
      <w:numFmt w:val="lowerLetter"/>
      <w:suff w:val="nothing"/>
      <w:lvlText w:val="%1.%2.%3.%4.%5.%6.%7."/>
      <w:lvlJc w:val="left"/>
      <w:pPr>
        <w:ind w:left="1905" w:firstLine="0"/>
      </w:pPr>
    </w:lvl>
    <w:lvl w:ilvl="7">
      <w:start w:val="1"/>
      <w:numFmt w:val="lowerLetter"/>
      <w:suff w:val="nothing"/>
      <w:lvlText w:val="(%1.%2.%3.%4.%5.%6.%7.%8)"/>
      <w:lvlJc w:val="left"/>
      <w:pPr>
        <w:ind w:left="1905" w:firstLine="0"/>
      </w:pPr>
    </w:lvl>
    <w:lvl w:ilvl="8">
      <w:start w:val="1"/>
      <w:numFmt w:val="lowerLetter"/>
      <w:suff w:val="nothing"/>
      <w:lvlText w:val="%1.%2.%3.%4.%5.%6.%7.%8.%9."/>
      <w:lvlJc w:val="right"/>
      <w:pPr>
        <w:ind w:left="1905" w:firstLine="0"/>
      </w:pPr>
    </w:lvl>
  </w:abstractNum>
  <w:abstractNum w:abstractNumId="8" w15:restartNumberingAfterBreak="0">
    <w:nsid w:val="510A3576"/>
    <w:multiLevelType w:val="multilevel"/>
    <w:tmpl w:val="520018AC"/>
    <w:styleLink w:val="WWNum9"/>
    <w:lvl w:ilvl="0">
      <w:start w:val="1"/>
      <w:numFmt w:val="japaneseCounting"/>
      <w:lvlText w:val="%1、"/>
      <w:lvlJc w:val="left"/>
      <w:pPr>
        <w:ind w:left="480" w:hanging="48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514509DC"/>
    <w:multiLevelType w:val="multilevel"/>
    <w:tmpl w:val="C76AE966"/>
    <w:styleLink w:val="WWNum13"/>
    <w:lvl w:ilvl="0">
      <w:start w:val="1"/>
      <w:numFmt w:val="japaneseCounting"/>
      <w:lvlText w:val="%1、"/>
      <w:lvlJc w:val="left"/>
      <w:pPr>
        <w:ind w:left="504" w:hanging="504"/>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51916826"/>
    <w:multiLevelType w:val="multilevel"/>
    <w:tmpl w:val="86141CE4"/>
    <w:styleLink w:val="WWNum6"/>
    <w:lvl w:ilvl="0">
      <w:start w:val="1"/>
      <w:numFmt w:val="japaneseCounting"/>
      <w:lvlText w:val="%1、"/>
      <w:lvlJc w:val="left"/>
      <w:pPr>
        <w:ind w:left="487" w:hanging="504"/>
      </w:pPr>
    </w:lvl>
    <w:lvl w:ilvl="1">
      <w:start w:val="1"/>
      <w:numFmt w:val="ideographTraditional"/>
      <w:lvlText w:val="%1.%2、"/>
      <w:lvlJc w:val="left"/>
      <w:pPr>
        <w:ind w:left="943" w:hanging="480"/>
      </w:pPr>
    </w:lvl>
    <w:lvl w:ilvl="2">
      <w:start w:val="1"/>
      <w:numFmt w:val="lowerRoman"/>
      <w:lvlText w:val="%1.%2.%3."/>
      <w:lvlJc w:val="right"/>
      <w:pPr>
        <w:ind w:left="1423" w:hanging="480"/>
      </w:pPr>
    </w:lvl>
    <w:lvl w:ilvl="3">
      <w:start w:val="1"/>
      <w:numFmt w:val="decimal"/>
      <w:lvlText w:val="%1.%2.%3.%4."/>
      <w:lvlJc w:val="left"/>
      <w:pPr>
        <w:ind w:left="1903" w:hanging="480"/>
      </w:pPr>
    </w:lvl>
    <w:lvl w:ilvl="4">
      <w:start w:val="1"/>
      <w:numFmt w:val="ideographTraditional"/>
      <w:lvlText w:val="%1.%2.%3.%4.%5、"/>
      <w:lvlJc w:val="left"/>
      <w:pPr>
        <w:ind w:left="2383" w:hanging="480"/>
      </w:pPr>
    </w:lvl>
    <w:lvl w:ilvl="5">
      <w:start w:val="1"/>
      <w:numFmt w:val="lowerRoman"/>
      <w:lvlText w:val="%1.%2.%3.%4.%5.%6."/>
      <w:lvlJc w:val="right"/>
      <w:pPr>
        <w:ind w:left="2863" w:hanging="480"/>
      </w:pPr>
    </w:lvl>
    <w:lvl w:ilvl="6">
      <w:start w:val="1"/>
      <w:numFmt w:val="decimal"/>
      <w:lvlText w:val="%1.%2.%3.%4.%5.%6.%7."/>
      <w:lvlJc w:val="left"/>
      <w:pPr>
        <w:ind w:left="3343" w:hanging="480"/>
      </w:pPr>
    </w:lvl>
    <w:lvl w:ilvl="7">
      <w:start w:val="1"/>
      <w:numFmt w:val="ideographTraditional"/>
      <w:lvlText w:val="%1.%2.%3.%4.%5.%6.%7.%8、"/>
      <w:lvlJc w:val="left"/>
      <w:pPr>
        <w:ind w:left="3823" w:hanging="480"/>
      </w:pPr>
    </w:lvl>
    <w:lvl w:ilvl="8">
      <w:start w:val="1"/>
      <w:numFmt w:val="lowerRoman"/>
      <w:lvlText w:val="%1.%2.%3.%4.%5.%6.%7.%8.%9."/>
      <w:lvlJc w:val="right"/>
      <w:pPr>
        <w:ind w:left="4303" w:hanging="480"/>
      </w:pPr>
    </w:lvl>
  </w:abstractNum>
  <w:abstractNum w:abstractNumId="11" w15:restartNumberingAfterBreak="0">
    <w:nsid w:val="63475507"/>
    <w:multiLevelType w:val="multilevel"/>
    <w:tmpl w:val="55B8060C"/>
    <w:styleLink w:val="WWNum7"/>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12" w15:restartNumberingAfterBreak="0">
    <w:nsid w:val="65607372"/>
    <w:multiLevelType w:val="multilevel"/>
    <w:tmpl w:val="6F4AC984"/>
    <w:styleLink w:val="WWNum4"/>
    <w:lvl w:ilvl="0">
      <w:start w:val="1"/>
      <w:numFmt w:val="japaneseCounting"/>
      <w:lvlText w:val="%1、"/>
      <w:lvlJc w:val="left"/>
      <w:pPr>
        <w:ind w:left="474" w:hanging="510"/>
      </w:pPr>
      <w:rPr>
        <w:rFonts w:eastAsia="標楷體"/>
      </w:rPr>
    </w:lvl>
    <w:lvl w:ilvl="1">
      <w:start w:val="1"/>
      <w:numFmt w:val="ideographTraditional"/>
      <w:lvlText w:val="%1.%2、"/>
      <w:lvlJc w:val="left"/>
      <w:pPr>
        <w:ind w:left="924" w:hanging="480"/>
      </w:pPr>
    </w:lvl>
    <w:lvl w:ilvl="2">
      <w:start w:val="1"/>
      <w:numFmt w:val="lowerRoman"/>
      <w:lvlText w:val="%1.%2.%3."/>
      <w:lvlJc w:val="right"/>
      <w:pPr>
        <w:ind w:left="1404" w:hanging="480"/>
      </w:pPr>
    </w:lvl>
    <w:lvl w:ilvl="3">
      <w:start w:val="1"/>
      <w:numFmt w:val="decimal"/>
      <w:lvlText w:val="%1.%2.%3.%4."/>
      <w:lvlJc w:val="left"/>
      <w:pPr>
        <w:ind w:left="1884" w:hanging="480"/>
      </w:pPr>
    </w:lvl>
    <w:lvl w:ilvl="4">
      <w:start w:val="1"/>
      <w:numFmt w:val="ideographTraditional"/>
      <w:lvlText w:val="%1.%2.%3.%4.%5、"/>
      <w:lvlJc w:val="left"/>
      <w:pPr>
        <w:ind w:left="2364" w:hanging="480"/>
      </w:pPr>
    </w:lvl>
    <w:lvl w:ilvl="5">
      <w:start w:val="1"/>
      <w:numFmt w:val="lowerRoman"/>
      <w:lvlText w:val="%1.%2.%3.%4.%5.%6."/>
      <w:lvlJc w:val="right"/>
      <w:pPr>
        <w:ind w:left="2844" w:hanging="480"/>
      </w:pPr>
    </w:lvl>
    <w:lvl w:ilvl="6">
      <w:start w:val="1"/>
      <w:numFmt w:val="decimal"/>
      <w:lvlText w:val="%1.%2.%3.%4.%5.%6.%7."/>
      <w:lvlJc w:val="left"/>
      <w:pPr>
        <w:ind w:left="3324" w:hanging="480"/>
      </w:pPr>
    </w:lvl>
    <w:lvl w:ilvl="7">
      <w:start w:val="1"/>
      <w:numFmt w:val="ideographTraditional"/>
      <w:lvlText w:val="%1.%2.%3.%4.%5.%6.%7.%8、"/>
      <w:lvlJc w:val="left"/>
      <w:pPr>
        <w:ind w:left="3804" w:hanging="480"/>
      </w:pPr>
    </w:lvl>
    <w:lvl w:ilvl="8">
      <w:start w:val="1"/>
      <w:numFmt w:val="lowerRoman"/>
      <w:lvlText w:val="%1.%2.%3.%4.%5.%6.%7.%8.%9."/>
      <w:lvlJc w:val="right"/>
      <w:pPr>
        <w:ind w:left="4284" w:hanging="480"/>
      </w:pPr>
    </w:lvl>
  </w:abstractNum>
  <w:abstractNum w:abstractNumId="13" w15:restartNumberingAfterBreak="0">
    <w:nsid w:val="78CA3B00"/>
    <w:multiLevelType w:val="multilevel"/>
    <w:tmpl w:val="6C22ACB6"/>
    <w:styleLink w:val="WWNum10"/>
    <w:lvl w:ilvl="0">
      <w:start w:val="1"/>
      <w:numFmt w:val="japaneseCounting"/>
      <w:suff w:val="nothing"/>
      <w:lvlText w:val="%1、"/>
      <w:lvlJc w:val="left"/>
      <w:pPr>
        <w:ind w:left="482" w:hanging="482"/>
      </w:pPr>
      <w:rPr>
        <w:rFonts w:eastAsia="標楷體"/>
      </w:rPr>
    </w:lvl>
    <w:lvl w:ilvl="1">
      <w:start w:val="1"/>
      <w:numFmt w:val="japaneseCounting"/>
      <w:suff w:val="nothing"/>
      <w:lvlText w:val="(%1.%2)"/>
      <w:lvlJc w:val="left"/>
      <w:pPr>
        <w:ind w:left="879" w:hanging="397"/>
      </w:pPr>
      <w:rPr>
        <w:rFonts w:eastAsia="標楷體"/>
      </w:rPr>
    </w:lvl>
    <w:lvl w:ilvl="2">
      <w:start w:val="1"/>
      <w:numFmt w:val="decimal"/>
      <w:suff w:val="nothing"/>
      <w:lvlText w:val="%1.%2.%3."/>
      <w:lvlJc w:val="left"/>
      <w:pPr>
        <w:ind w:left="1060" w:hanging="181"/>
      </w:pPr>
      <w:rPr>
        <w:rFonts w:eastAsia="標楷體"/>
      </w:rPr>
    </w:lvl>
    <w:lvl w:ilvl="3">
      <w:start w:val="1"/>
      <w:numFmt w:val="decimal"/>
      <w:suff w:val="nothing"/>
      <w:lvlText w:val="(%1.%2.%3.%4)"/>
      <w:lvlJc w:val="left"/>
      <w:pPr>
        <w:ind w:left="1338" w:hanging="278"/>
      </w:pPr>
      <w:rPr>
        <w:rFonts w:eastAsia="標楷體"/>
      </w:rPr>
    </w:lvl>
    <w:lvl w:ilvl="4">
      <w:start w:val="1"/>
      <w:numFmt w:val="upperLetter"/>
      <w:suff w:val="nothing"/>
      <w:lvlText w:val="%1.%2.%3.%4.%5."/>
      <w:lvlJc w:val="left"/>
      <w:pPr>
        <w:ind w:left="1571" w:hanging="232"/>
      </w:pPr>
      <w:rPr>
        <w:rFonts w:eastAsia="標楷體"/>
      </w:rPr>
    </w:lvl>
    <w:lvl w:ilvl="5">
      <w:start w:val="1"/>
      <w:numFmt w:val="upperLetter"/>
      <w:suff w:val="nothing"/>
      <w:lvlText w:val="(%1.%2.%3.%4.%5.%6)"/>
      <w:lvlJc w:val="left"/>
      <w:pPr>
        <w:ind w:left="1905" w:hanging="335"/>
      </w:pPr>
      <w:rPr>
        <w:rFonts w:eastAsia="標楷體"/>
      </w:rPr>
    </w:lvl>
    <w:lvl w:ilvl="6">
      <w:start w:val="1"/>
      <w:numFmt w:val="lowerLetter"/>
      <w:suff w:val="nothing"/>
      <w:lvlText w:val="%1.%2.%3.%4.%5.%6.%7."/>
      <w:lvlJc w:val="left"/>
      <w:pPr>
        <w:ind w:left="1905" w:firstLine="0"/>
      </w:pPr>
      <w:rPr>
        <w:rFonts w:eastAsia="標楷體"/>
      </w:rPr>
    </w:lvl>
    <w:lvl w:ilvl="7">
      <w:start w:val="1"/>
      <w:numFmt w:val="lowerLetter"/>
      <w:suff w:val="nothing"/>
      <w:lvlText w:val="(%1.%2.%3.%4.%5.%6.%7.%8)"/>
      <w:lvlJc w:val="left"/>
      <w:pPr>
        <w:ind w:left="1905" w:firstLine="0"/>
      </w:pPr>
      <w:rPr>
        <w:rFonts w:eastAsia="標楷體"/>
      </w:rPr>
    </w:lvl>
    <w:lvl w:ilvl="8">
      <w:start w:val="1"/>
      <w:numFmt w:val="lowerLetter"/>
      <w:suff w:val="nothing"/>
      <w:lvlText w:val="%1.%2.%3.%4.%5.%6.%7.%8.%9."/>
      <w:lvlJc w:val="left"/>
      <w:pPr>
        <w:ind w:left="1905" w:firstLine="0"/>
      </w:pPr>
      <w:rPr>
        <w:rFonts w:eastAsia="標楷體"/>
      </w:rPr>
    </w:lvl>
  </w:abstractNum>
  <w:abstractNum w:abstractNumId="14" w15:restartNumberingAfterBreak="0">
    <w:nsid w:val="7F650C9C"/>
    <w:multiLevelType w:val="multilevel"/>
    <w:tmpl w:val="CA00D868"/>
    <w:styleLink w:val="WWNum3"/>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num w:numId="1">
    <w:abstractNumId w:val="1"/>
  </w:num>
  <w:num w:numId="2">
    <w:abstractNumId w:val="0"/>
  </w:num>
  <w:num w:numId="3">
    <w:abstractNumId w:val="2"/>
  </w:num>
  <w:num w:numId="4">
    <w:abstractNumId w:val="7"/>
  </w:num>
  <w:num w:numId="5">
    <w:abstractNumId w:val="14"/>
  </w:num>
  <w:num w:numId="6">
    <w:abstractNumId w:val="12"/>
  </w:num>
  <w:num w:numId="7">
    <w:abstractNumId w:val="6"/>
  </w:num>
  <w:num w:numId="8">
    <w:abstractNumId w:val="10"/>
  </w:num>
  <w:num w:numId="9">
    <w:abstractNumId w:val="11"/>
  </w:num>
  <w:num w:numId="10">
    <w:abstractNumId w:val="4"/>
  </w:num>
  <w:num w:numId="11">
    <w:abstractNumId w:val="8"/>
  </w:num>
  <w:num w:numId="12">
    <w:abstractNumId w:val="13"/>
  </w:num>
  <w:num w:numId="13">
    <w:abstractNumId w:val="5"/>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56024"/>
    <w:rsid w:val="003169F2"/>
    <w:rsid w:val="0052191E"/>
    <w:rsid w:val="00D56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004551-7321-4ED2-A990-78556C28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新細明體"/>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spacing w:line="480" w:lineRule="exact"/>
    </w:pPr>
  </w:style>
  <w:style w:type="paragraph" w:customStyle="1" w:styleId="Textbodyuser">
    <w:name w:val="Text body (user)"/>
    <w:basedOn w:val="Standarduser"/>
    <w:pPr>
      <w:spacing w:after="140" w:line="288" w:lineRule="auto"/>
    </w:pPr>
  </w:style>
  <w:style w:type="paragraph" w:customStyle="1" w:styleId="Default">
    <w:name w:val="Default"/>
    <w:pPr>
      <w:suppressAutoHyphens/>
    </w:pPr>
    <w:rPr>
      <w:rFonts w:ascii="標楷體" w:eastAsia="標楷體" w:hAnsi="標楷體" w:cs="標楷體"/>
      <w:color w:val="000000"/>
      <w:szCs w:val="24"/>
    </w:rPr>
  </w:style>
  <w:style w:type="paragraph" w:styleId="HTML">
    <w:name w:val="HTML Preformatted"/>
    <w:basedOn w:val="Standarduse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szCs w:val="24"/>
    </w:rPr>
  </w:style>
  <w:style w:type="paragraph" w:styleId="a5">
    <w:name w:val="Salutation"/>
    <w:basedOn w:val="Standarduser"/>
    <w:rPr>
      <w:rFonts w:ascii="標楷體" w:eastAsia="標楷體" w:hAnsi="標楷體" w:cs="標楷體"/>
      <w:color w:val="000000"/>
      <w:sz w:val="28"/>
      <w:szCs w:val="28"/>
    </w:rPr>
  </w:style>
  <w:style w:type="paragraph" w:styleId="a6">
    <w:name w:val="Closing"/>
    <w:basedOn w:val="Standarduser"/>
    <w:pPr>
      <w:ind w:left="100"/>
    </w:pPr>
    <w:rPr>
      <w:rFonts w:ascii="標楷體" w:eastAsia="標楷體" w:hAnsi="標楷體" w:cs="標楷體"/>
      <w:color w:val="000000"/>
      <w:sz w:val="28"/>
      <w:szCs w:val="28"/>
    </w:rPr>
  </w:style>
  <w:style w:type="paragraph" w:customStyle="1" w:styleId="HeaderandFooter">
    <w:name w:val="Header and Footer"/>
    <w:basedOn w:val="Standarduser"/>
    <w:pPr>
      <w:suppressLineNumbers/>
      <w:tabs>
        <w:tab w:val="center" w:pos="4819"/>
        <w:tab w:val="right" w:pos="9638"/>
      </w:tabs>
    </w:p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paragraph" w:styleId="Web">
    <w:name w:val="Normal (Web)"/>
    <w:basedOn w:val="Standarduser"/>
    <w:pPr>
      <w:widowControl/>
      <w:spacing w:before="280" w:after="142" w:line="288" w:lineRule="auto"/>
    </w:pPr>
    <w:rPr>
      <w:rFonts w:ascii="新細明體" w:hAnsi="新細明體"/>
      <w:szCs w:val="24"/>
    </w:rPr>
  </w:style>
  <w:style w:type="paragraph" w:customStyle="1" w:styleId="TableContents">
    <w:name w:val="Table Contents"/>
    <w:basedOn w:val="Standarduser"/>
    <w:pPr>
      <w:suppressLineNumbers/>
    </w:pPr>
  </w:style>
  <w:style w:type="character" w:customStyle="1" w:styleId="HTML0">
    <w:name w:val="HTML 預設格式 字元"/>
    <w:basedOn w:val="a0"/>
    <w:rPr>
      <w:rFonts w:ascii="細明體" w:eastAsia="細明體" w:hAnsi="細明體" w:cs="細明體"/>
      <w:szCs w:val="24"/>
    </w:rPr>
  </w:style>
  <w:style w:type="character" w:customStyle="1" w:styleId="a9">
    <w:name w:val="問候 字元"/>
    <w:basedOn w:val="a0"/>
    <w:rPr>
      <w:rFonts w:ascii="標楷體" w:eastAsia="標楷體" w:hAnsi="標楷體" w:cs="新細明體"/>
      <w:color w:val="000000"/>
      <w:sz w:val="28"/>
      <w:szCs w:val="28"/>
    </w:rPr>
  </w:style>
  <w:style w:type="character" w:customStyle="1" w:styleId="aa">
    <w:name w:val="結語 字元"/>
    <w:basedOn w:val="a0"/>
    <w:rPr>
      <w:rFonts w:ascii="標楷體" w:eastAsia="標楷體" w:hAnsi="標楷體" w:cs="新細明體"/>
      <w:color w:val="000000"/>
      <w:sz w:val="28"/>
      <w:szCs w:val="2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user">
    <w:name w:val="Internet link (user)"/>
    <w:basedOn w:val="a0"/>
    <w:rPr>
      <w:color w:val="0000FF"/>
      <w:u w:val="single"/>
    </w:rPr>
  </w:style>
  <w:style w:type="character" w:customStyle="1" w:styleId="Internetlink">
    <w:name w:val="Internet link"/>
    <w:basedOn w:val="a0"/>
    <w:rPr>
      <w:color w:val="0000FF"/>
      <w:u w:val="single"/>
    </w:rPr>
  </w:style>
  <w:style w:type="character" w:customStyle="1" w:styleId="label-eng">
    <w:name w:val="label-eng"/>
    <w:basedOn w:val="a0"/>
  </w:style>
  <w:style w:type="character" w:customStyle="1" w:styleId="NumberingSymbols">
    <w:name w:val="Numbering Symbols"/>
    <w:rPr>
      <w:rFonts w:eastAsia="標楷體"/>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character" w:customStyle="1" w:styleId="ListLabel5">
    <w:name w:val="ListLabel 5"/>
    <w:rPr>
      <w:rFonts w:eastAsia="標楷體"/>
    </w:rPr>
  </w:style>
  <w:style w:type="character" w:customStyle="1" w:styleId="ListLabel6">
    <w:name w:val="ListLabel 6"/>
    <w:rPr>
      <w:rFonts w:eastAsia="標楷體"/>
    </w:rPr>
  </w:style>
  <w:style w:type="character" w:customStyle="1" w:styleId="ListLabel7">
    <w:name w:val="ListLabel 7"/>
    <w:rPr>
      <w:rFonts w:eastAsia="標楷體"/>
    </w:rPr>
  </w:style>
  <w:style w:type="character" w:customStyle="1" w:styleId="ListLabel8">
    <w:name w:val="ListLabel 8"/>
    <w:rPr>
      <w:rFonts w:eastAsia="標楷體"/>
    </w:rPr>
  </w:style>
  <w:style w:type="character" w:customStyle="1" w:styleId="ListLabel9">
    <w:name w:val="ListLabel 9"/>
    <w:rPr>
      <w:rFonts w:eastAsia="標楷體"/>
    </w:rPr>
  </w:style>
  <w:style w:type="character" w:customStyle="1" w:styleId="ListLabel10">
    <w:name w:val="ListLabel 10"/>
    <w:rPr>
      <w:rFonts w:eastAsia="標楷體"/>
    </w:rPr>
  </w:style>
  <w:style w:type="character" w:customStyle="1" w:styleId="ListLabel11">
    <w:name w:val="ListLabel 11"/>
    <w:rPr>
      <w:rFonts w:eastAsia="標楷體"/>
    </w:rPr>
  </w:style>
  <w:style w:type="character" w:customStyle="1" w:styleId="ListLabel12">
    <w:name w:val="ListLabel 12"/>
    <w:rPr>
      <w:rFonts w:eastAsia="標楷體"/>
    </w:rPr>
  </w:style>
  <w:style w:type="character" w:customStyle="1" w:styleId="ListLabel13">
    <w:name w:val="ListLabel 13"/>
    <w:rPr>
      <w:rFonts w:eastAsia="標楷體"/>
    </w:rPr>
  </w:style>
  <w:style w:type="character" w:customStyle="1" w:styleId="ListLabel14">
    <w:name w:val="ListLabel 14"/>
    <w:rPr>
      <w:rFonts w:eastAsia="標楷體"/>
    </w:rPr>
  </w:style>
  <w:style w:type="character" w:customStyle="1" w:styleId="ListLabel15">
    <w:name w:val="ListLabel 15"/>
    <w:rPr>
      <w:rFonts w:eastAsia="標楷體"/>
    </w:rPr>
  </w:style>
  <w:style w:type="character" w:customStyle="1" w:styleId="ListLabel16">
    <w:name w:val="ListLabel 16"/>
    <w:rPr>
      <w:rFonts w:eastAsia="標楷體"/>
    </w:rPr>
  </w:style>
  <w:style w:type="character" w:customStyle="1" w:styleId="ListLabel17">
    <w:name w:val="ListLabel 17"/>
    <w:rPr>
      <w:u w:val="none"/>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1664</Characters>
  <Application>Microsoft Office Word</Application>
  <DocSecurity>0</DocSecurity>
  <Lines>13</Lines>
  <Paragraphs>3</Paragraphs>
  <ScaleCrop>false</ScaleCrop>
  <Company>HOME</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吳炎烈</dc:creator>
  <cp:lastModifiedBy>USER</cp:lastModifiedBy>
  <cp:revision>2</cp:revision>
  <cp:lastPrinted>2023-12-20T08:18:00Z</cp:lastPrinted>
  <dcterms:created xsi:type="dcterms:W3CDTF">2024-01-25T08:50:00Z</dcterms:created>
  <dcterms:modified xsi:type="dcterms:W3CDTF">2024-01-25T08:50:00Z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